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AE44B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0B0017">
        <w:rPr>
          <w:color w:val="FFFFFF" w:themeColor="background1"/>
          <w:sz w:val="28"/>
          <w:szCs w:val="28"/>
        </w:rPr>
        <w:t>ПРО</w:t>
      </w:r>
      <w:r w:rsidR="00AE44BB" w:rsidRPr="000B0017">
        <w:rPr>
          <w:color w:val="FFFFFF" w:themeColor="background1"/>
          <w:sz w:val="28"/>
          <w:szCs w:val="28"/>
        </w:rPr>
        <w:t>Є</w:t>
      </w:r>
      <w:r w:rsidR="00B719E5" w:rsidRPr="000B0017">
        <w:rPr>
          <w:color w:val="FFFFFF" w:themeColor="background1"/>
          <w:sz w:val="28"/>
          <w:szCs w:val="28"/>
        </w:rPr>
        <w:t>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D44815" w:rsidRPr="00E02DCA" w:rsidRDefault="00D44815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215608">
        <w:rPr>
          <w:color w:val="000000" w:themeColor="text1" w:themeShade="80"/>
          <w:sz w:val="28"/>
          <w:szCs w:val="28"/>
        </w:rPr>
        <w:t>21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C640F5">
        <w:rPr>
          <w:color w:val="000000" w:themeColor="text1" w:themeShade="80"/>
          <w:sz w:val="28"/>
          <w:szCs w:val="28"/>
        </w:rPr>
        <w:t>листопада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bookmarkStart w:id="0" w:name="_GoBack"/>
      <w:bookmarkEnd w:id="0"/>
      <w:r w:rsidR="00215608">
        <w:rPr>
          <w:color w:val="000000" w:themeColor="text1" w:themeShade="80"/>
          <w:sz w:val="28"/>
          <w:szCs w:val="28"/>
        </w:rPr>
        <w:t>5</w:t>
      </w:r>
      <w:r w:rsidR="00F550BC">
        <w:rPr>
          <w:color w:val="000000" w:themeColor="text1" w:themeShade="80"/>
          <w:sz w:val="28"/>
          <w:szCs w:val="28"/>
        </w:rPr>
        <w:t>60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4D411A">
        <w:rPr>
          <w:b/>
          <w:color w:val="000000" w:themeColor="text1" w:themeShade="80"/>
          <w:sz w:val="28"/>
          <w:szCs w:val="28"/>
        </w:rPr>
        <w:t>цивільного захисту населення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D44815" w:rsidRDefault="00D44815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</w:t>
      </w:r>
      <w:r w:rsidR="00D44815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 xml:space="preserve">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7B0399">
        <w:rPr>
          <w:color w:val="000000" w:themeColor="text1" w:themeShade="80"/>
          <w:sz w:val="28"/>
          <w:szCs w:val="28"/>
        </w:rPr>
        <w:t>9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3C767E">
        <w:rPr>
          <w:sz w:val="28"/>
          <w:szCs w:val="28"/>
        </w:rPr>
        <w:t xml:space="preserve"> та листа  директора комунального підприємства «</w:t>
      </w:r>
      <w:r w:rsidR="00C640F5">
        <w:rPr>
          <w:sz w:val="28"/>
          <w:szCs w:val="28"/>
        </w:rPr>
        <w:t>Виробниче управління комунального господарства</w:t>
      </w:r>
      <w:r w:rsidR="00C72FBD">
        <w:rPr>
          <w:sz w:val="28"/>
          <w:szCs w:val="28"/>
        </w:rPr>
        <w:t xml:space="preserve">» від  </w:t>
      </w:r>
      <w:r w:rsidR="00C640F5">
        <w:rPr>
          <w:sz w:val="28"/>
          <w:szCs w:val="28"/>
        </w:rPr>
        <w:t>2</w:t>
      </w:r>
      <w:r w:rsidR="002D6A2D">
        <w:rPr>
          <w:sz w:val="28"/>
          <w:szCs w:val="28"/>
        </w:rPr>
        <w:t>1</w:t>
      </w:r>
      <w:r w:rsidR="003C767E">
        <w:rPr>
          <w:sz w:val="28"/>
          <w:szCs w:val="28"/>
        </w:rPr>
        <w:t>.</w:t>
      </w:r>
      <w:r w:rsidR="00C640F5">
        <w:rPr>
          <w:sz w:val="28"/>
          <w:szCs w:val="28"/>
        </w:rPr>
        <w:t>1</w:t>
      </w:r>
      <w:r w:rsidR="003C767E">
        <w:rPr>
          <w:sz w:val="28"/>
          <w:szCs w:val="28"/>
        </w:rPr>
        <w:t>0.2024 №</w:t>
      </w:r>
      <w:r w:rsidR="00711898">
        <w:rPr>
          <w:sz w:val="28"/>
          <w:szCs w:val="28"/>
        </w:rPr>
        <w:t>1</w:t>
      </w:r>
      <w:r w:rsidR="00C640F5">
        <w:rPr>
          <w:sz w:val="28"/>
          <w:szCs w:val="28"/>
        </w:rPr>
        <w:t>-4/1</w:t>
      </w:r>
      <w:r w:rsidR="00711898">
        <w:rPr>
          <w:sz w:val="28"/>
          <w:szCs w:val="28"/>
        </w:rPr>
        <w:t>0</w:t>
      </w:r>
      <w:r w:rsidR="00C640F5">
        <w:rPr>
          <w:sz w:val="28"/>
          <w:szCs w:val="28"/>
        </w:rPr>
        <w:t>3</w:t>
      </w:r>
      <w:r w:rsidR="002D6A2D">
        <w:rPr>
          <w:sz w:val="28"/>
          <w:szCs w:val="28"/>
        </w:rPr>
        <w:t>7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C640F5">
        <w:rPr>
          <w:color w:val="000000" w:themeColor="text1" w:themeShade="80"/>
          <w:sz w:val="28"/>
          <w:szCs w:val="28"/>
        </w:rPr>
        <w:t>50</w:t>
      </w:r>
      <w:r w:rsidR="002D6A2D">
        <w:rPr>
          <w:color w:val="000000" w:themeColor="text1" w:themeShade="80"/>
          <w:sz w:val="28"/>
          <w:szCs w:val="28"/>
        </w:rPr>
        <w:t xml:space="preserve"> </w:t>
      </w:r>
      <w:r w:rsidR="00C640F5">
        <w:rPr>
          <w:color w:val="000000" w:themeColor="text1" w:themeShade="80"/>
          <w:sz w:val="28"/>
          <w:szCs w:val="28"/>
        </w:rPr>
        <w:t>5</w:t>
      </w:r>
      <w:r w:rsidR="002D6A2D">
        <w:rPr>
          <w:color w:val="000000" w:themeColor="text1" w:themeShade="80"/>
          <w:sz w:val="28"/>
          <w:szCs w:val="28"/>
        </w:rPr>
        <w:t>2</w:t>
      </w:r>
      <w:r w:rsidR="00C640F5">
        <w:rPr>
          <w:color w:val="000000" w:themeColor="text1" w:themeShade="80"/>
          <w:sz w:val="28"/>
          <w:szCs w:val="28"/>
        </w:rPr>
        <w:t>7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C640F5">
        <w:rPr>
          <w:color w:val="000000" w:themeColor="text1" w:themeShade="80"/>
          <w:sz w:val="28"/>
          <w:szCs w:val="28"/>
        </w:rPr>
        <w:t>00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2F43C5">
        <w:rPr>
          <w:color w:val="000000" w:themeColor="text1" w:themeShade="80"/>
          <w:sz w:val="28"/>
          <w:szCs w:val="28"/>
        </w:rPr>
        <w:t>придбання матеріально-технічних засобів</w:t>
      </w:r>
      <w:r w:rsidR="002D6A2D" w:rsidRPr="002D6A2D">
        <w:rPr>
          <w:sz w:val="28"/>
          <w:szCs w:val="28"/>
        </w:rPr>
        <w:t xml:space="preserve">, спрямованих на </w:t>
      </w:r>
      <w:r w:rsidR="002F43C5">
        <w:rPr>
          <w:sz w:val="28"/>
          <w:szCs w:val="28"/>
        </w:rPr>
        <w:t>з</w:t>
      </w:r>
      <w:r w:rsidR="002F43C5" w:rsidRPr="002F43C5">
        <w:rPr>
          <w:sz w:val="28"/>
          <w:szCs w:val="28"/>
        </w:rPr>
        <w:t xml:space="preserve">абезпечення </w:t>
      </w:r>
      <w:proofErr w:type="spellStart"/>
      <w:r w:rsidR="002F43C5" w:rsidRPr="002F43C5">
        <w:rPr>
          <w:sz w:val="28"/>
          <w:szCs w:val="28"/>
        </w:rPr>
        <w:t>субланок</w:t>
      </w:r>
      <w:proofErr w:type="spellEnd"/>
      <w:r w:rsidR="002F43C5" w:rsidRPr="002F43C5">
        <w:rPr>
          <w:sz w:val="28"/>
          <w:szCs w:val="28"/>
        </w:rPr>
        <w:t xml:space="preserve"> цивільного захисту комунальних підприємств відповідним переліком інженерної техніки, спеціалізованим інструментом та спеціалізованим спорядженням</w:t>
      </w:r>
      <w:r w:rsidR="0034247F" w:rsidRPr="00E02DCA">
        <w:rPr>
          <w:color w:val="000000" w:themeColor="text1" w:themeShade="80"/>
          <w:sz w:val="28"/>
          <w:szCs w:val="28"/>
        </w:rPr>
        <w:t>:</w:t>
      </w:r>
    </w:p>
    <w:p w:rsidR="0034247F" w:rsidRDefault="009F4CD9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КЕКВ </w:t>
      </w:r>
      <w:r w:rsidR="002F43C5">
        <w:rPr>
          <w:color w:val="000000" w:themeColor="text1" w:themeShade="80"/>
          <w:sz w:val="28"/>
          <w:szCs w:val="28"/>
        </w:rPr>
        <w:t>2</w:t>
      </w:r>
      <w:r w:rsidR="002F43C5" w:rsidRPr="002F43C5">
        <w:rPr>
          <w:color w:val="000000" w:themeColor="text1" w:themeShade="80"/>
          <w:sz w:val="28"/>
          <w:szCs w:val="28"/>
        </w:rPr>
        <w:t>1</w:t>
      </w:r>
      <w:r w:rsidR="002F43C5">
        <w:rPr>
          <w:color w:val="000000" w:themeColor="text1" w:themeShade="80"/>
          <w:sz w:val="28"/>
          <w:szCs w:val="28"/>
        </w:rPr>
        <w:t>1</w:t>
      </w:r>
      <w:r w:rsidR="00363E5F" w:rsidRPr="00E02DCA">
        <w:rPr>
          <w:color w:val="000000" w:themeColor="text1" w:themeShade="80"/>
          <w:sz w:val="28"/>
          <w:szCs w:val="28"/>
        </w:rPr>
        <w:t xml:space="preserve">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2F43C5">
        <w:rPr>
          <w:color w:val="000000" w:themeColor="text1" w:themeShade="80"/>
          <w:sz w:val="28"/>
          <w:szCs w:val="28"/>
        </w:rPr>
        <w:t>шина 260</w:t>
      </w:r>
      <w:r w:rsidR="002F43C5">
        <w:rPr>
          <w:color w:val="000000" w:themeColor="text1" w:themeShade="80"/>
          <w:sz w:val="28"/>
          <w:szCs w:val="28"/>
          <w:lang w:val="en-US"/>
        </w:rPr>
        <w:t>R</w:t>
      </w:r>
      <w:r w:rsidR="002F43C5" w:rsidRPr="002F43C5">
        <w:rPr>
          <w:color w:val="000000" w:themeColor="text1" w:themeShade="80"/>
          <w:sz w:val="28"/>
          <w:szCs w:val="28"/>
        </w:rPr>
        <w:t>508 (9.00</w:t>
      </w:r>
      <w:r w:rsidR="002F43C5">
        <w:rPr>
          <w:color w:val="000000" w:themeColor="text1" w:themeShade="80"/>
          <w:sz w:val="28"/>
          <w:szCs w:val="28"/>
          <w:lang w:val="en-US"/>
        </w:rPr>
        <w:t>R</w:t>
      </w:r>
      <w:r w:rsidR="002F43C5" w:rsidRPr="002F43C5">
        <w:rPr>
          <w:color w:val="000000" w:themeColor="text1" w:themeShade="80"/>
          <w:sz w:val="28"/>
          <w:szCs w:val="28"/>
        </w:rPr>
        <w:t xml:space="preserve">20) </w:t>
      </w:r>
      <w:r w:rsidR="002F43C5">
        <w:rPr>
          <w:color w:val="000000" w:themeColor="text1" w:themeShade="80"/>
          <w:sz w:val="28"/>
          <w:szCs w:val="28"/>
          <w:lang w:val="en-US"/>
        </w:rPr>
        <w:t>TQ</w:t>
      </w:r>
      <w:r w:rsidR="002F43C5" w:rsidRPr="002F43C5">
        <w:rPr>
          <w:color w:val="000000" w:themeColor="text1" w:themeShade="80"/>
          <w:sz w:val="28"/>
          <w:szCs w:val="28"/>
        </w:rPr>
        <w:t xml:space="preserve">616 16 </w:t>
      </w:r>
      <w:proofErr w:type="spellStart"/>
      <w:r w:rsidR="002F43C5">
        <w:rPr>
          <w:color w:val="000000" w:themeColor="text1" w:themeShade="80"/>
          <w:sz w:val="28"/>
          <w:szCs w:val="28"/>
          <w:lang w:val="en-US"/>
        </w:rPr>
        <w:t>cn</w:t>
      </w:r>
      <w:proofErr w:type="spellEnd"/>
      <w:r w:rsidR="002F43C5" w:rsidRPr="002F43C5">
        <w:rPr>
          <w:color w:val="000000" w:themeColor="text1" w:themeShade="80"/>
          <w:sz w:val="28"/>
          <w:szCs w:val="28"/>
        </w:rPr>
        <w:t xml:space="preserve"> 144/142 </w:t>
      </w:r>
      <w:r w:rsidR="002F43C5">
        <w:rPr>
          <w:color w:val="000000" w:themeColor="text1" w:themeShade="80"/>
          <w:sz w:val="28"/>
          <w:szCs w:val="28"/>
          <w:lang w:val="en-US"/>
        </w:rPr>
        <w:t>K</w:t>
      </w:r>
      <w:r w:rsidR="002F43C5" w:rsidRPr="002F43C5">
        <w:rPr>
          <w:color w:val="000000" w:themeColor="text1" w:themeShade="80"/>
          <w:sz w:val="28"/>
          <w:szCs w:val="28"/>
        </w:rPr>
        <w:t xml:space="preserve"> (</w:t>
      </w:r>
      <w:r w:rsidR="002F43C5">
        <w:rPr>
          <w:color w:val="000000" w:themeColor="text1" w:themeShade="80"/>
          <w:sz w:val="28"/>
          <w:szCs w:val="28"/>
          <w:lang w:val="en-US"/>
        </w:rPr>
        <w:t>NORQULE</w:t>
      </w:r>
      <w:r w:rsidR="002F43C5" w:rsidRPr="002F43C5">
        <w:rPr>
          <w:color w:val="000000" w:themeColor="text1" w:themeShade="80"/>
          <w:sz w:val="28"/>
          <w:szCs w:val="28"/>
        </w:rPr>
        <w:t xml:space="preserve">) </w:t>
      </w:r>
      <w:r w:rsidR="002F43C5">
        <w:rPr>
          <w:color w:val="000000" w:themeColor="text1" w:themeShade="80"/>
          <w:sz w:val="28"/>
          <w:szCs w:val="28"/>
        </w:rPr>
        <w:t xml:space="preserve">, в кількості 4 штуки </w:t>
      </w:r>
      <w:r w:rsidR="00B83609" w:rsidRPr="00E02DCA">
        <w:rPr>
          <w:color w:val="000000" w:themeColor="text1" w:themeShade="80"/>
          <w:sz w:val="28"/>
          <w:szCs w:val="28"/>
        </w:rPr>
        <w:t xml:space="preserve">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2F43C5">
        <w:rPr>
          <w:color w:val="000000" w:themeColor="text1" w:themeShade="80"/>
          <w:sz w:val="28"/>
          <w:szCs w:val="28"/>
        </w:rPr>
        <w:t>31</w:t>
      </w:r>
      <w:r w:rsidR="009A5CBE">
        <w:rPr>
          <w:color w:val="000000" w:themeColor="text1" w:themeShade="80"/>
          <w:sz w:val="28"/>
          <w:szCs w:val="28"/>
        </w:rPr>
        <w:t xml:space="preserve"> </w:t>
      </w:r>
      <w:r w:rsidR="002F43C5">
        <w:rPr>
          <w:color w:val="000000" w:themeColor="text1" w:themeShade="80"/>
          <w:sz w:val="28"/>
          <w:szCs w:val="28"/>
        </w:rPr>
        <w:t>400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2F43C5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8450B7" w:rsidRPr="004D411A" w:rsidRDefault="008450B7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КЕКВ </w:t>
      </w:r>
      <w:r>
        <w:rPr>
          <w:color w:val="000000" w:themeColor="text1" w:themeShade="80"/>
          <w:sz w:val="28"/>
          <w:szCs w:val="28"/>
        </w:rPr>
        <w:t>2</w:t>
      </w:r>
      <w:r w:rsidRPr="002F43C5">
        <w:rPr>
          <w:color w:val="000000" w:themeColor="text1" w:themeShade="80"/>
          <w:sz w:val="28"/>
          <w:szCs w:val="28"/>
        </w:rPr>
        <w:t>1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>0</w:t>
      </w:r>
      <w:r w:rsidR="004D411A">
        <w:rPr>
          <w:color w:val="000000" w:themeColor="text1" w:themeShade="80"/>
          <w:sz w:val="28"/>
          <w:szCs w:val="28"/>
        </w:rPr>
        <w:t xml:space="preserve"> – акумулятор 6ст-200 (</w:t>
      </w:r>
      <w:proofErr w:type="spellStart"/>
      <w:r w:rsidR="004D411A">
        <w:rPr>
          <w:color w:val="000000" w:themeColor="text1" w:themeShade="80"/>
          <w:sz w:val="28"/>
          <w:szCs w:val="28"/>
        </w:rPr>
        <w:t>+зліва</w:t>
      </w:r>
      <w:proofErr w:type="spellEnd"/>
      <w:r w:rsidR="004D411A">
        <w:rPr>
          <w:color w:val="000000" w:themeColor="text1" w:themeShade="80"/>
          <w:sz w:val="28"/>
          <w:szCs w:val="28"/>
        </w:rPr>
        <w:t xml:space="preserve">) </w:t>
      </w:r>
      <w:proofErr w:type="spellStart"/>
      <w:r w:rsidR="004D411A">
        <w:rPr>
          <w:color w:val="000000" w:themeColor="text1" w:themeShade="80"/>
          <w:sz w:val="28"/>
          <w:szCs w:val="28"/>
          <w:lang w:val="en-US"/>
        </w:rPr>
        <w:t>Technotorg</w:t>
      </w:r>
      <w:proofErr w:type="spellEnd"/>
      <w:r w:rsidR="004D411A">
        <w:rPr>
          <w:color w:val="000000" w:themeColor="text1" w:themeShade="80"/>
          <w:sz w:val="28"/>
          <w:szCs w:val="28"/>
        </w:rPr>
        <w:t>), в кількості 2 штук на суму 19 127,00 грн.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4D411A">
        <w:rPr>
          <w:color w:val="000000" w:themeColor="text1" w:themeShade="80"/>
          <w:sz w:val="28"/>
          <w:szCs w:val="28"/>
        </w:rPr>
        <w:t>Т.в.о.н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4D411A">
        <w:rPr>
          <w:color w:val="000000" w:themeColor="text1" w:themeShade="80"/>
          <w:sz w:val="28"/>
          <w:szCs w:val="28"/>
        </w:rPr>
        <w:t>а</w:t>
      </w:r>
      <w:proofErr w:type="spellEnd"/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4D411A">
        <w:rPr>
          <w:color w:val="000000" w:themeColor="text1" w:themeShade="80"/>
          <w:sz w:val="28"/>
          <w:szCs w:val="28"/>
        </w:rPr>
        <w:t>Мурашку С.М</w:t>
      </w:r>
      <w:r w:rsidR="00096367" w:rsidRPr="00E02DCA">
        <w:rPr>
          <w:color w:val="000000" w:themeColor="text1" w:themeShade="80"/>
          <w:sz w:val="28"/>
          <w:szCs w:val="28"/>
        </w:rPr>
        <w:t xml:space="preserve">. </w:t>
      </w:r>
      <w:r w:rsidR="00096367" w:rsidRPr="00E02DCA">
        <w:rPr>
          <w:color w:val="000000" w:themeColor="text1" w:themeShade="80"/>
          <w:sz w:val="28"/>
          <w:szCs w:val="28"/>
        </w:rPr>
        <w:lastRenderedPageBreak/>
        <w:t xml:space="preserve">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AB07B5" w:rsidRDefault="00AB07B5" w:rsidP="00520591">
      <w:pPr>
        <w:jc w:val="both"/>
        <w:rPr>
          <w:color w:val="000000" w:themeColor="text1" w:themeShade="80"/>
          <w:sz w:val="28"/>
          <w:szCs w:val="28"/>
        </w:rPr>
      </w:pPr>
    </w:p>
    <w:p w:rsidR="00640DE9" w:rsidRPr="00640DE9" w:rsidRDefault="00640DE9" w:rsidP="00640DE9">
      <w:pPr>
        <w:pStyle w:val="20"/>
        <w:rPr>
          <w:sz w:val="28"/>
          <w:szCs w:val="28"/>
        </w:rPr>
      </w:pPr>
      <w:r w:rsidRPr="00640DE9">
        <w:rPr>
          <w:sz w:val="28"/>
          <w:szCs w:val="28"/>
        </w:rPr>
        <w:t>Міський голова</w:t>
      </w:r>
      <w:r w:rsidRPr="00640DE9">
        <w:rPr>
          <w:sz w:val="28"/>
          <w:szCs w:val="28"/>
        </w:rPr>
        <w:tab/>
      </w:r>
      <w:r w:rsidRPr="00640DE9">
        <w:rPr>
          <w:sz w:val="28"/>
          <w:szCs w:val="28"/>
        </w:rPr>
        <w:tab/>
      </w:r>
      <w:r w:rsidRPr="00640DE9">
        <w:rPr>
          <w:sz w:val="28"/>
          <w:szCs w:val="28"/>
        </w:rPr>
        <w:tab/>
      </w:r>
      <w:r w:rsidRPr="00640DE9">
        <w:rPr>
          <w:sz w:val="28"/>
          <w:szCs w:val="28"/>
        </w:rPr>
        <w:tab/>
      </w:r>
      <w:r w:rsidRPr="00640DE9">
        <w:rPr>
          <w:sz w:val="28"/>
          <w:szCs w:val="28"/>
        </w:rPr>
        <w:tab/>
      </w:r>
      <w:r w:rsidRPr="00640DE9">
        <w:rPr>
          <w:sz w:val="28"/>
          <w:szCs w:val="28"/>
        </w:rPr>
        <w:tab/>
      </w:r>
      <w:r w:rsidRPr="00640DE9">
        <w:rPr>
          <w:sz w:val="28"/>
          <w:szCs w:val="28"/>
        </w:rPr>
        <w:tab/>
        <w:t xml:space="preserve">          Олександр КОДОЛА</w:t>
      </w:r>
    </w:p>
    <w:p w:rsidR="00640DE9" w:rsidRPr="00640DE9" w:rsidRDefault="00640DE9" w:rsidP="00640DE9">
      <w:pPr>
        <w:rPr>
          <w:sz w:val="28"/>
          <w:szCs w:val="28"/>
        </w:rPr>
        <w:sectPr w:rsidR="00640DE9" w:rsidRPr="00640DE9" w:rsidSect="00640DE9">
          <w:pgSz w:w="11906" w:h="16838"/>
          <w:pgMar w:top="993" w:right="567" w:bottom="1418" w:left="1701" w:header="720" w:footer="720" w:gutter="0"/>
          <w:cols w:space="720"/>
        </w:sectPr>
      </w:pPr>
    </w:p>
    <w:p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18536B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723F40">
        <w:rPr>
          <w:b/>
          <w:color w:val="000000" w:themeColor="text1" w:themeShade="80"/>
          <w:sz w:val="28"/>
          <w:szCs w:val="28"/>
        </w:rPr>
        <w:t>цивільного захисту населення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AB07B5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 w:rsidR="00C50115"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>п.</w:t>
      </w:r>
      <w:r w:rsidR="00723F40">
        <w:rPr>
          <w:color w:val="000000" w:themeColor="text1" w:themeShade="80"/>
          <w:sz w:val="28"/>
          <w:szCs w:val="28"/>
        </w:rPr>
        <w:t>9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AB07B5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267FCE" w:rsidRPr="0060548A">
        <w:rPr>
          <w:sz w:val="28"/>
          <w:szCs w:val="28"/>
        </w:rPr>
        <w:t>/2023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3C767E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723F40">
        <w:rPr>
          <w:color w:val="000000" w:themeColor="text1" w:themeShade="80"/>
          <w:sz w:val="28"/>
          <w:szCs w:val="28"/>
        </w:rPr>
        <w:t>50</w:t>
      </w:r>
      <w:r w:rsidR="0018536B">
        <w:rPr>
          <w:color w:val="000000" w:themeColor="text1" w:themeShade="80"/>
          <w:sz w:val="28"/>
          <w:szCs w:val="28"/>
        </w:rPr>
        <w:t xml:space="preserve"> </w:t>
      </w:r>
      <w:r w:rsidR="00723F40">
        <w:rPr>
          <w:color w:val="000000" w:themeColor="text1" w:themeShade="80"/>
          <w:sz w:val="28"/>
          <w:szCs w:val="28"/>
        </w:rPr>
        <w:t>527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723F40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723F40" w:rsidRDefault="00723F40" w:rsidP="00723F40">
      <w:pPr>
        <w:ind w:firstLine="708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В</w:t>
      </w:r>
      <w:r w:rsidRPr="00723F40">
        <w:rPr>
          <w:sz w:val="28"/>
          <w:szCs w:val="28"/>
        </w:rPr>
        <w:t>досконалення системи забезпечення безпеки на території Ніжинської  МТГ і організаційних засад її функціонування, зміцнення технічної і ресурсної бази, що дозволить у повному обсязі виконати завдання</w:t>
      </w:r>
      <w:r>
        <w:rPr>
          <w:sz w:val="28"/>
          <w:szCs w:val="28"/>
        </w:rPr>
        <w:t xml:space="preserve">, спрямовані на </w:t>
      </w:r>
      <w:r w:rsidR="005A70AB">
        <w:rPr>
          <w:sz w:val="28"/>
          <w:szCs w:val="28"/>
        </w:rPr>
        <w:t>посилення заходів цивільного захисту населення</w:t>
      </w:r>
      <w:r w:rsidRPr="00723F40">
        <w:rPr>
          <w:sz w:val="28"/>
          <w:szCs w:val="28"/>
        </w:rPr>
        <w:t>.</w:t>
      </w:r>
    </w:p>
    <w:p w:rsidR="009A7992" w:rsidRPr="00723F40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5A70AB" w:rsidP="009A7992">
      <w:pPr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Т.в.о.на</w:t>
      </w:r>
      <w:r w:rsidR="009A7992" w:rsidRPr="00E02DCA">
        <w:rPr>
          <w:color w:val="000000" w:themeColor="text1" w:themeShade="80"/>
          <w:sz w:val="28"/>
          <w:szCs w:val="28"/>
        </w:rPr>
        <w:t>чальник</w:t>
      </w:r>
      <w:r>
        <w:rPr>
          <w:color w:val="000000" w:themeColor="text1" w:themeShade="80"/>
          <w:sz w:val="28"/>
          <w:szCs w:val="28"/>
        </w:rPr>
        <w:t>а</w:t>
      </w:r>
      <w:proofErr w:type="spellEnd"/>
      <w:r w:rsidR="00196CA4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D44815">
          <w:pgSz w:w="11906" w:h="16838" w:code="9"/>
          <w:pgMar w:top="993" w:right="567" w:bottom="1418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5A70AB">
        <w:rPr>
          <w:color w:val="000000" w:themeColor="text1" w:themeShade="80"/>
          <w:sz w:val="28"/>
          <w:szCs w:val="28"/>
        </w:rPr>
        <w:t>Сергій МУРАШКО</w:t>
      </w:r>
    </w:p>
    <w:p w:rsidR="00C848C9" w:rsidRPr="00254D83" w:rsidRDefault="00C848C9" w:rsidP="005F5B20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85" w:rsidRDefault="00297185" w:rsidP="00AB07B5">
      <w:r>
        <w:separator/>
      </w:r>
    </w:p>
  </w:endnote>
  <w:endnote w:type="continuationSeparator" w:id="0">
    <w:p w:rsidR="00297185" w:rsidRDefault="00297185" w:rsidP="00AB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85" w:rsidRDefault="00297185" w:rsidP="00AB07B5">
      <w:r>
        <w:separator/>
      </w:r>
    </w:p>
  </w:footnote>
  <w:footnote w:type="continuationSeparator" w:id="0">
    <w:p w:rsidR="00297185" w:rsidRDefault="00297185" w:rsidP="00AB0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60"/>
    <w:rsid w:val="000144E4"/>
    <w:rsid w:val="00020F80"/>
    <w:rsid w:val="000227D5"/>
    <w:rsid w:val="00026D1B"/>
    <w:rsid w:val="00042E83"/>
    <w:rsid w:val="0005515C"/>
    <w:rsid w:val="0007065B"/>
    <w:rsid w:val="00076ECA"/>
    <w:rsid w:val="00085C9E"/>
    <w:rsid w:val="00096367"/>
    <w:rsid w:val="000A2F66"/>
    <w:rsid w:val="000A66C9"/>
    <w:rsid w:val="000B0017"/>
    <w:rsid w:val="000D2705"/>
    <w:rsid w:val="00104885"/>
    <w:rsid w:val="001053E7"/>
    <w:rsid w:val="001358A1"/>
    <w:rsid w:val="001362C9"/>
    <w:rsid w:val="001453DC"/>
    <w:rsid w:val="0018536B"/>
    <w:rsid w:val="00190CED"/>
    <w:rsid w:val="00196CA4"/>
    <w:rsid w:val="001B015C"/>
    <w:rsid w:val="001C7CF2"/>
    <w:rsid w:val="001D08D1"/>
    <w:rsid w:val="001E1678"/>
    <w:rsid w:val="001E638C"/>
    <w:rsid w:val="001E78B7"/>
    <w:rsid w:val="002135B0"/>
    <w:rsid w:val="00215608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8721A"/>
    <w:rsid w:val="00297185"/>
    <w:rsid w:val="002B6799"/>
    <w:rsid w:val="002D3B1A"/>
    <w:rsid w:val="002D5F71"/>
    <w:rsid w:val="002D6218"/>
    <w:rsid w:val="002D6935"/>
    <w:rsid w:val="002D6A2D"/>
    <w:rsid w:val="002E70B4"/>
    <w:rsid w:val="002F43C5"/>
    <w:rsid w:val="002F53E4"/>
    <w:rsid w:val="003060D2"/>
    <w:rsid w:val="00307704"/>
    <w:rsid w:val="0034247F"/>
    <w:rsid w:val="00350094"/>
    <w:rsid w:val="00363E5F"/>
    <w:rsid w:val="003825C8"/>
    <w:rsid w:val="003B3184"/>
    <w:rsid w:val="003C5A79"/>
    <w:rsid w:val="003C767E"/>
    <w:rsid w:val="003D78F3"/>
    <w:rsid w:val="004050D0"/>
    <w:rsid w:val="00407568"/>
    <w:rsid w:val="00445F50"/>
    <w:rsid w:val="004543DE"/>
    <w:rsid w:val="004623E8"/>
    <w:rsid w:val="00491B54"/>
    <w:rsid w:val="00495C48"/>
    <w:rsid w:val="004A7780"/>
    <w:rsid w:val="004D411A"/>
    <w:rsid w:val="00515EE2"/>
    <w:rsid w:val="00520591"/>
    <w:rsid w:val="005354EB"/>
    <w:rsid w:val="00550B85"/>
    <w:rsid w:val="005542D5"/>
    <w:rsid w:val="005640CD"/>
    <w:rsid w:val="0057451F"/>
    <w:rsid w:val="00576DCB"/>
    <w:rsid w:val="0057741F"/>
    <w:rsid w:val="00595763"/>
    <w:rsid w:val="005A3DD1"/>
    <w:rsid w:val="005A4F1B"/>
    <w:rsid w:val="005A5E2C"/>
    <w:rsid w:val="005A70AB"/>
    <w:rsid w:val="005B62FB"/>
    <w:rsid w:val="005C2F66"/>
    <w:rsid w:val="005C5326"/>
    <w:rsid w:val="005D7B6D"/>
    <w:rsid w:val="005E164A"/>
    <w:rsid w:val="005E1AA4"/>
    <w:rsid w:val="005E3CE2"/>
    <w:rsid w:val="005F5B20"/>
    <w:rsid w:val="0060548A"/>
    <w:rsid w:val="0061613D"/>
    <w:rsid w:val="00634D98"/>
    <w:rsid w:val="00640DE9"/>
    <w:rsid w:val="0065112A"/>
    <w:rsid w:val="00664D61"/>
    <w:rsid w:val="00692A7D"/>
    <w:rsid w:val="00694BFD"/>
    <w:rsid w:val="006A71D0"/>
    <w:rsid w:val="006B088F"/>
    <w:rsid w:val="006D0BA7"/>
    <w:rsid w:val="006D5C56"/>
    <w:rsid w:val="006E2091"/>
    <w:rsid w:val="006E31A1"/>
    <w:rsid w:val="00711898"/>
    <w:rsid w:val="007127D8"/>
    <w:rsid w:val="00714B4C"/>
    <w:rsid w:val="007205A4"/>
    <w:rsid w:val="00723F40"/>
    <w:rsid w:val="00730D2B"/>
    <w:rsid w:val="007449B8"/>
    <w:rsid w:val="00745958"/>
    <w:rsid w:val="00745A5F"/>
    <w:rsid w:val="00763B2B"/>
    <w:rsid w:val="00766216"/>
    <w:rsid w:val="007714AC"/>
    <w:rsid w:val="007A3979"/>
    <w:rsid w:val="007B0399"/>
    <w:rsid w:val="007C180B"/>
    <w:rsid w:val="00832733"/>
    <w:rsid w:val="00835A17"/>
    <w:rsid w:val="008450B7"/>
    <w:rsid w:val="0088019F"/>
    <w:rsid w:val="0088162B"/>
    <w:rsid w:val="00883E5D"/>
    <w:rsid w:val="00886BE0"/>
    <w:rsid w:val="008A509F"/>
    <w:rsid w:val="008A58D4"/>
    <w:rsid w:val="008A6B62"/>
    <w:rsid w:val="008C4878"/>
    <w:rsid w:val="008C56C5"/>
    <w:rsid w:val="008D58D2"/>
    <w:rsid w:val="008E1241"/>
    <w:rsid w:val="00900B7E"/>
    <w:rsid w:val="00903572"/>
    <w:rsid w:val="00922D55"/>
    <w:rsid w:val="00952C44"/>
    <w:rsid w:val="00955A0B"/>
    <w:rsid w:val="00962EEE"/>
    <w:rsid w:val="00970295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95F2F"/>
    <w:rsid w:val="00AA190C"/>
    <w:rsid w:val="00AA5AD9"/>
    <w:rsid w:val="00AB07B5"/>
    <w:rsid w:val="00AC1C4D"/>
    <w:rsid w:val="00AE44BB"/>
    <w:rsid w:val="00AF3494"/>
    <w:rsid w:val="00AF34D3"/>
    <w:rsid w:val="00B11B28"/>
    <w:rsid w:val="00B26597"/>
    <w:rsid w:val="00B27635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16EB"/>
    <w:rsid w:val="00C254EF"/>
    <w:rsid w:val="00C50115"/>
    <w:rsid w:val="00C640F5"/>
    <w:rsid w:val="00C72FBD"/>
    <w:rsid w:val="00C848C9"/>
    <w:rsid w:val="00C8684E"/>
    <w:rsid w:val="00CB2740"/>
    <w:rsid w:val="00CC0D65"/>
    <w:rsid w:val="00CC1915"/>
    <w:rsid w:val="00CD3B78"/>
    <w:rsid w:val="00D332EB"/>
    <w:rsid w:val="00D35356"/>
    <w:rsid w:val="00D35B7C"/>
    <w:rsid w:val="00D36F30"/>
    <w:rsid w:val="00D44815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27775"/>
    <w:rsid w:val="00E44A31"/>
    <w:rsid w:val="00E63D3E"/>
    <w:rsid w:val="00E6739D"/>
    <w:rsid w:val="00E70201"/>
    <w:rsid w:val="00E848F3"/>
    <w:rsid w:val="00E92F04"/>
    <w:rsid w:val="00E97883"/>
    <w:rsid w:val="00EA0C8D"/>
    <w:rsid w:val="00EB468D"/>
    <w:rsid w:val="00EC21F5"/>
    <w:rsid w:val="00EC49FE"/>
    <w:rsid w:val="00ED47BD"/>
    <w:rsid w:val="00ED72DC"/>
    <w:rsid w:val="00EE1B98"/>
    <w:rsid w:val="00EE466C"/>
    <w:rsid w:val="00EE6A51"/>
    <w:rsid w:val="00F1612A"/>
    <w:rsid w:val="00F24635"/>
    <w:rsid w:val="00F269F5"/>
    <w:rsid w:val="00F27461"/>
    <w:rsid w:val="00F274FD"/>
    <w:rsid w:val="00F5326F"/>
    <w:rsid w:val="00F53CBB"/>
    <w:rsid w:val="00F550BC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C68C0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07B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07B5"/>
    <w:rPr>
      <w:rFonts w:eastAsia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640D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0DE9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8AD5-261D-421D-939C-C9F8D085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12</cp:revision>
  <cp:lastPrinted>2024-11-20T13:34:00Z</cp:lastPrinted>
  <dcterms:created xsi:type="dcterms:W3CDTF">2024-11-20T07:33:00Z</dcterms:created>
  <dcterms:modified xsi:type="dcterms:W3CDTF">2024-11-21T14:55:00Z</dcterms:modified>
</cp:coreProperties>
</file>