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EB57" w14:textId="77777777" w:rsidR="00866099" w:rsidRPr="00506C91" w:rsidRDefault="00113C71" w:rsidP="00866099">
      <w:pPr>
        <w:tabs>
          <w:tab w:val="left" w:pos="709"/>
        </w:tabs>
        <w:ind w:left="5103"/>
        <w:jc w:val="right"/>
        <w:rPr>
          <w:lang w:val="uk-UA"/>
        </w:rPr>
      </w:pPr>
      <w:bookmarkStart w:id="0" w:name="_Hlk93153115"/>
      <w:r w:rsidRPr="00EF5BB0">
        <w:rPr>
          <w:b/>
          <w:bCs/>
          <w:i/>
          <w:iCs/>
          <w:sz w:val="20"/>
          <w:szCs w:val="20"/>
          <w:lang w:val="uk-UA"/>
        </w:rPr>
        <w:tab/>
      </w:r>
      <w:bookmarkEnd w:id="0"/>
      <w:r w:rsidR="00866099">
        <w:rPr>
          <w:lang w:val="uk-UA"/>
        </w:rPr>
        <w:t xml:space="preserve">                                         </w:t>
      </w:r>
      <w:r w:rsidR="00866099" w:rsidRPr="00506C91">
        <w:rPr>
          <w:lang w:val="uk-UA"/>
        </w:rPr>
        <w:t>Додаток 31</w:t>
      </w:r>
    </w:p>
    <w:p w14:paraId="467013C4" w14:textId="77777777" w:rsidR="00866099" w:rsidRPr="00506C91" w:rsidRDefault="00866099" w:rsidP="00866099">
      <w:pPr>
        <w:ind w:left="3544"/>
        <w:jc w:val="right"/>
        <w:rPr>
          <w:lang w:val="uk-UA"/>
        </w:rPr>
      </w:pPr>
      <w:r w:rsidRPr="00506C91">
        <w:rPr>
          <w:lang w:val="uk-UA"/>
        </w:rPr>
        <w:t xml:space="preserve">                                               міської ради  VІII скликання</w:t>
      </w:r>
    </w:p>
    <w:p w14:paraId="54B328A6" w14:textId="0F85EB1E" w:rsidR="00866099" w:rsidRDefault="00866099" w:rsidP="00866099">
      <w:pPr>
        <w:tabs>
          <w:tab w:val="left" w:pos="5955"/>
        </w:tabs>
        <w:jc w:val="right"/>
        <w:rPr>
          <w:bCs/>
          <w:lang w:val="uk-UA"/>
        </w:rPr>
      </w:pPr>
      <w:r w:rsidRPr="00506C91">
        <w:rPr>
          <w:lang w:val="uk-UA"/>
        </w:rPr>
        <w:t xml:space="preserve">                                           </w:t>
      </w:r>
      <w:r>
        <w:rPr>
          <w:bCs/>
          <w:lang w:val="uk-UA"/>
        </w:rPr>
        <w:t xml:space="preserve">від 08.12.2023р. №2-35/2023  </w:t>
      </w:r>
    </w:p>
    <w:p w14:paraId="1F99A84E" w14:textId="38DC8E99" w:rsidR="00866099" w:rsidRDefault="00866099" w:rsidP="00866099">
      <w:pPr>
        <w:tabs>
          <w:tab w:val="left" w:pos="5955"/>
        </w:tabs>
        <w:jc w:val="right"/>
        <w:rPr>
          <w:bCs/>
          <w:lang w:val="uk-UA"/>
        </w:rPr>
      </w:pPr>
      <w:r>
        <w:rPr>
          <w:bCs/>
          <w:lang w:val="uk-UA"/>
        </w:rPr>
        <w:t xml:space="preserve">зі змінами, внесеними рішенням міської ради </w:t>
      </w:r>
    </w:p>
    <w:p w14:paraId="4E9208C9" w14:textId="7E8B6002" w:rsidR="00A44340" w:rsidRDefault="00266D66" w:rsidP="00866099">
      <w:pPr>
        <w:tabs>
          <w:tab w:val="left" w:pos="5955"/>
        </w:tabs>
        <w:ind w:left="5670"/>
        <w:jc w:val="right"/>
        <w:rPr>
          <w:bCs/>
          <w:lang w:val="uk-UA"/>
        </w:rPr>
      </w:pPr>
      <w:r w:rsidRPr="00266D66">
        <w:rPr>
          <w:bCs/>
          <w:lang w:val="uk-UA"/>
        </w:rPr>
        <w:t xml:space="preserve">від </w:t>
      </w:r>
      <w:r w:rsidR="00580154">
        <w:rPr>
          <w:bCs/>
          <w:lang w:val="uk-UA"/>
        </w:rPr>
        <w:t>04.04.</w:t>
      </w:r>
      <w:r w:rsidRPr="00266D66">
        <w:rPr>
          <w:bCs/>
          <w:lang w:val="uk-UA"/>
        </w:rPr>
        <w:t>202</w:t>
      </w:r>
      <w:r w:rsidR="00A44340">
        <w:rPr>
          <w:bCs/>
          <w:lang w:val="uk-UA"/>
        </w:rPr>
        <w:t>4</w:t>
      </w:r>
      <w:r w:rsidRPr="00266D66">
        <w:rPr>
          <w:bCs/>
          <w:lang w:val="uk-UA"/>
        </w:rPr>
        <w:t>р. №</w:t>
      </w:r>
      <w:r w:rsidR="00580154">
        <w:rPr>
          <w:bCs/>
          <w:lang w:val="uk-UA"/>
        </w:rPr>
        <w:t xml:space="preserve"> 58-37</w:t>
      </w:r>
      <w:r w:rsidRPr="00266D66">
        <w:rPr>
          <w:bCs/>
          <w:lang w:val="uk-UA"/>
        </w:rPr>
        <w:t>/202</w:t>
      </w:r>
      <w:r w:rsidR="00A44340">
        <w:rPr>
          <w:bCs/>
          <w:lang w:val="uk-UA"/>
        </w:rPr>
        <w:t>4</w:t>
      </w:r>
    </w:p>
    <w:p w14:paraId="30DC15F6" w14:textId="5367DAB7" w:rsidR="00266D66" w:rsidRPr="00266D66" w:rsidRDefault="00266D66" w:rsidP="00A44340">
      <w:pPr>
        <w:tabs>
          <w:tab w:val="left" w:pos="5955"/>
        </w:tabs>
        <w:ind w:left="5670"/>
        <w:rPr>
          <w:bCs/>
          <w:lang w:val="uk-UA"/>
        </w:rPr>
      </w:pPr>
      <w:r w:rsidRPr="00266D66">
        <w:rPr>
          <w:bCs/>
          <w:lang w:val="uk-UA"/>
        </w:rPr>
        <w:t xml:space="preserve">  </w:t>
      </w:r>
    </w:p>
    <w:p w14:paraId="06434BFF" w14:textId="77777777" w:rsidR="00266D66" w:rsidRPr="00266D66" w:rsidRDefault="00266D66" w:rsidP="00266D66">
      <w:pPr>
        <w:ind w:right="84"/>
        <w:jc w:val="center"/>
        <w:outlineLvl w:val="0"/>
        <w:rPr>
          <w:b/>
          <w:lang w:val="uk-UA" w:eastAsia="uk-UA"/>
        </w:rPr>
      </w:pPr>
      <w:r w:rsidRPr="00266D66">
        <w:rPr>
          <w:b/>
          <w:bCs/>
          <w:lang w:val="uk-UA"/>
        </w:rPr>
        <w:t>Міська цільова програма «</w:t>
      </w:r>
      <w:r w:rsidRPr="00266D66">
        <w:rPr>
          <w:b/>
          <w:lang w:val="uk-UA"/>
        </w:rPr>
        <w:t xml:space="preserve">Розвитку  </w:t>
      </w:r>
      <w:r w:rsidRPr="00266D66">
        <w:rPr>
          <w:b/>
          <w:lang w:val="uk-UA" w:eastAsia="uk-UA"/>
        </w:rPr>
        <w:t xml:space="preserve">комунального підприємства </w:t>
      </w:r>
    </w:p>
    <w:p w14:paraId="5EC73001" w14:textId="77777777" w:rsidR="00266D66" w:rsidRPr="00266D66" w:rsidRDefault="00266D66" w:rsidP="00266D66">
      <w:pPr>
        <w:ind w:right="84"/>
        <w:jc w:val="center"/>
        <w:outlineLvl w:val="0"/>
        <w:rPr>
          <w:b/>
          <w:bCs/>
          <w:lang w:val="uk-UA"/>
        </w:rPr>
      </w:pPr>
      <w:r w:rsidRPr="00266D66">
        <w:rPr>
          <w:b/>
          <w:lang w:val="uk-UA" w:eastAsia="uk-UA"/>
        </w:rPr>
        <w:t xml:space="preserve">«Ніжинське управління водопровідно-каналізаційного господарства» </w:t>
      </w:r>
      <w:r w:rsidRPr="00266D66">
        <w:rPr>
          <w:b/>
          <w:lang w:val="uk-UA"/>
        </w:rPr>
        <w:t>на 2024 рік</w:t>
      </w:r>
      <w:r w:rsidRPr="00266D66">
        <w:rPr>
          <w:b/>
          <w:bCs/>
          <w:lang w:val="uk-UA"/>
        </w:rPr>
        <w:t>»</w:t>
      </w:r>
    </w:p>
    <w:p w14:paraId="1A898350" w14:textId="77777777" w:rsidR="00266D66" w:rsidRPr="00266D66" w:rsidRDefault="00266D66" w:rsidP="00266D66">
      <w:pPr>
        <w:numPr>
          <w:ilvl w:val="0"/>
          <w:numId w:val="39"/>
        </w:numPr>
        <w:pBdr>
          <w:bottom w:val="single" w:sz="12" w:space="1" w:color="auto"/>
        </w:pBdr>
        <w:ind w:right="84"/>
        <w:contextualSpacing/>
        <w:jc w:val="both"/>
        <w:outlineLvl w:val="0"/>
        <w:rPr>
          <w:b/>
          <w:bCs/>
          <w:lang w:val="uk-UA"/>
        </w:rPr>
      </w:pPr>
      <w:r w:rsidRPr="00266D66">
        <w:rPr>
          <w:b/>
          <w:bCs/>
          <w:lang w:val="uk-UA"/>
        </w:rPr>
        <w:t>Паспорт міської цільової програми «Розвитку комунального підприємства «Ніжинське управління  водопровідно-каналізаційного господарства» на 2024рік»</w:t>
      </w:r>
    </w:p>
    <w:p w14:paraId="287F4B96" w14:textId="77777777" w:rsidR="00266D66" w:rsidRPr="00266D66" w:rsidRDefault="00266D66" w:rsidP="00266D66">
      <w:pPr>
        <w:jc w:val="center"/>
        <w:rPr>
          <w:sz w:val="12"/>
          <w:szCs w:val="1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266D66" w:rsidRPr="00866099" w14:paraId="7233AA6F"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368383D2" w14:textId="77777777" w:rsidR="00266D66" w:rsidRPr="00266D66" w:rsidRDefault="00266D66" w:rsidP="00266D66">
            <w:pPr>
              <w:rPr>
                <w:sz w:val="20"/>
                <w:szCs w:val="20"/>
                <w:lang w:val="uk-UA"/>
              </w:rPr>
            </w:pPr>
            <w:r w:rsidRPr="00266D66">
              <w:rPr>
                <w:sz w:val="20"/>
                <w:szCs w:val="20"/>
                <w:lang w:val="uk-UA"/>
              </w:rPr>
              <w:t>1.</w:t>
            </w:r>
          </w:p>
        </w:tc>
        <w:tc>
          <w:tcPr>
            <w:tcW w:w="3368" w:type="dxa"/>
            <w:tcBorders>
              <w:top w:val="single" w:sz="4" w:space="0" w:color="auto"/>
              <w:left w:val="single" w:sz="4" w:space="0" w:color="auto"/>
              <w:bottom w:val="single" w:sz="4" w:space="0" w:color="auto"/>
              <w:right w:val="single" w:sz="4" w:space="0" w:color="auto"/>
            </w:tcBorders>
          </w:tcPr>
          <w:p w14:paraId="6E64F052" w14:textId="77777777" w:rsidR="00266D66" w:rsidRPr="00266D66" w:rsidRDefault="00266D66" w:rsidP="00266D66">
            <w:pPr>
              <w:rPr>
                <w:sz w:val="20"/>
                <w:szCs w:val="20"/>
                <w:lang w:val="uk-UA"/>
              </w:rPr>
            </w:pPr>
            <w:r w:rsidRPr="00266D66">
              <w:rPr>
                <w:sz w:val="20"/>
                <w:szCs w:val="20"/>
                <w:lang w:val="uk-UA"/>
              </w:rPr>
              <w:t>Ініціатор розроблення програми</w:t>
            </w:r>
          </w:p>
        </w:tc>
        <w:tc>
          <w:tcPr>
            <w:tcW w:w="5931" w:type="dxa"/>
            <w:tcBorders>
              <w:top w:val="single" w:sz="4" w:space="0" w:color="auto"/>
              <w:left w:val="single" w:sz="4" w:space="0" w:color="auto"/>
              <w:bottom w:val="single" w:sz="4" w:space="0" w:color="auto"/>
              <w:right w:val="single" w:sz="4" w:space="0" w:color="auto"/>
            </w:tcBorders>
          </w:tcPr>
          <w:p w14:paraId="31645C3F" w14:textId="77777777" w:rsidR="00266D66" w:rsidRPr="00266D66" w:rsidRDefault="00266D66" w:rsidP="00266D66">
            <w:pPr>
              <w:jc w:val="both"/>
              <w:rPr>
                <w:sz w:val="20"/>
                <w:szCs w:val="20"/>
                <w:lang w:val="uk-UA"/>
              </w:rPr>
            </w:pPr>
            <w:r w:rsidRPr="00266D66">
              <w:rPr>
                <w:sz w:val="20"/>
                <w:szCs w:val="20"/>
                <w:lang w:val="uk-UA"/>
              </w:rPr>
              <w:t>Виконавчий комітет Ніжинської міської ради</w:t>
            </w:r>
          </w:p>
        </w:tc>
      </w:tr>
      <w:tr w:rsidR="00266D66" w:rsidRPr="00266D66" w14:paraId="22B85A69"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431E6474" w14:textId="77777777" w:rsidR="00266D66" w:rsidRPr="00266D66" w:rsidRDefault="00266D66" w:rsidP="00266D66">
            <w:pPr>
              <w:rPr>
                <w:sz w:val="20"/>
                <w:szCs w:val="20"/>
                <w:lang w:val="uk-UA"/>
              </w:rPr>
            </w:pPr>
            <w:r w:rsidRPr="00266D66">
              <w:rPr>
                <w:sz w:val="20"/>
                <w:szCs w:val="20"/>
                <w:lang w:val="uk-UA"/>
              </w:rPr>
              <w:t>2.</w:t>
            </w:r>
          </w:p>
        </w:tc>
        <w:tc>
          <w:tcPr>
            <w:tcW w:w="3368" w:type="dxa"/>
            <w:tcBorders>
              <w:top w:val="single" w:sz="4" w:space="0" w:color="auto"/>
              <w:left w:val="single" w:sz="4" w:space="0" w:color="auto"/>
              <w:bottom w:val="single" w:sz="4" w:space="0" w:color="auto"/>
              <w:right w:val="single" w:sz="4" w:space="0" w:color="auto"/>
            </w:tcBorders>
          </w:tcPr>
          <w:p w14:paraId="00008100" w14:textId="77777777" w:rsidR="00266D66" w:rsidRPr="00266D66" w:rsidRDefault="00266D66" w:rsidP="00266D66">
            <w:pPr>
              <w:rPr>
                <w:sz w:val="20"/>
                <w:szCs w:val="20"/>
                <w:lang w:val="uk-UA"/>
              </w:rPr>
            </w:pPr>
            <w:r w:rsidRPr="00266D66">
              <w:rPr>
                <w:sz w:val="20"/>
                <w:szCs w:val="20"/>
                <w:lang w:val="uk-UA"/>
              </w:rPr>
              <w:t>Законодавча  база програми</w:t>
            </w:r>
          </w:p>
        </w:tc>
        <w:tc>
          <w:tcPr>
            <w:tcW w:w="5931" w:type="dxa"/>
            <w:tcBorders>
              <w:top w:val="single" w:sz="4" w:space="0" w:color="auto"/>
              <w:left w:val="single" w:sz="4" w:space="0" w:color="auto"/>
              <w:bottom w:val="single" w:sz="4" w:space="0" w:color="auto"/>
              <w:right w:val="single" w:sz="4" w:space="0" w:color="auto"/>
            </w:tcBorders>
          </w:tcPr>
          <w:p w14:paraId="2E617BB9" w14:textId="77777777" w:rsidR="00266D66" w:rsidRPr="00266D66" w:rsidRDefault="00266D66" w:rsidP="00266D66">
            <w:pPr>
              <w:ind w:firstLine="720"/>
              <w:jc w:val="both"/>
              <w:rPr>
                <w:sz w:val="20"/>
                <w:szCs w:val="20"/>
                <w:lang w:val="uk-UA"/>
              </w:rPr>
            </w:pPr>
            <w:r w:rsidRPr="00266D66">
              <w:rPr>
                <w:sz w:val="20"/>
                <w:szCs w:val="20"/>
                <w:lang w:val="uk-UA"/>
              </w:rPr>
              <w:t>Постанова Кабінету Міністрів України від 17 листопада 1997 р. N 1269 «Про Програму розвитку водопровідно-каналізаційного господарства»</w:t>
            </w:r>
          </w:p>
          <w:p w14:paraId="6CD42DD0" w14:textId="77777777" w:rsidR="00266D66" w:rsidRPr="00266D66" w:rsidRDefault="00266D66" w:rsidP="00266D66">
            <w:pPr>
              <w:ind w:firstLine="720"/>
              <w:jc w:val="both"/>
              <w:rPr>
                <w:sz w:val="20"/>
                <w:szCs w:val="20"/>
                <w:lang w:val="uk-UA"/>
              </w:rPr>
            </w:pPr>
            <w:r w:rsidRPr="00266D66">
              <w:rPr>
                <w:sz w:val="20"/>
                <w:szCs w:val="20"/>
                <w:lang w:val="uk-UA"/>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14:paraId="22EE88BD" w14:textId="77777777" w:rsidR="00266D66" w:rsidRPr="00266D66" w:rsidRDefault="00266D66" w:rsidP="00266D66">
            <w:pPr>
              <w:ind w:firstLine="720"/>
              <w:jc w:val="both"/>
              <w:rPr>
                <w:sz w:val="20"/>
                <w:szCs w:val="20"/>
                <w:lang w:val="uk-UA"/>
              </w:rPr>
            </w:pPr>
            <w:r w:rsidRPr="00266D66">
              <w:rPr>
                <w:sz w:val="20"/>
                <w:szCs w:val="20"/>
                <w:lang w:val="uk-UA"/>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14:paraId="34007E06" w14:textId="77777777" w:rsidR="00266D66" w:rsidRPr="00266D66" w:rsidRDefault="00266D66" w:rsidP="00266D66">
            <w:pPr>
              <w:ind w:firstLine="720"/>
              <w:jc w:val="both"/>
              <w:rPr>
                <w:sz w:val="20"/>
                <w:szCs w:val="20"/>
                <w:lang w:val="uk-UA"/>
              </w:rPr>
            </w:pPr>
            <w:r w:rsidRPr="00266D66">
              <w:rPr>
                <w:sz w:val="20"/>
                <w:szCs w:val="20"/>
                <w:lang w:val="uk-UA"/>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14:paraId="11EF6AF9" w14:textId="77777777" w:rsidR="00266D66" w:rsidRPr="00266D66" w:rsidRDefault="00266D66" w:rsidP="00266D66">
            <w:pPr>
              <w:ind w:firstLine="720"/>
              <w:jc w:val="both"/>
              <w:rPr>
                <w:sz w:val="20"/>
                <w:szCs w:val="20"/>
                <w:lang w:val="uk-UA"/>
              </w:rPr>
            </w:pPr>
            <w:r w:rsidRPr="00266D66">
              <w:rPr>
                <w:sz w:val="20"/>
                <w:szCs w:val="20"/>
                <w:lang w:val="uk-UA"/>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14:paraId="28E78E2D" w14:textId="77777777" w:rsidR="00266D66" w:rsidRPr="00266D66" w:rsidRDefault="00266D66" w:rsidP="00266D66">
            <w:pPr>
              <w:ind w:firstLine="720"/>
              <w:jc w:val="both"/>
              <w:rPr>
                <w:sz w:val="20"/>
                <w:szCs w:val="20"/>
                <w:lang w:val="uk-UA"/>
              </w:rPr>
            </w:pPr>
            <w:r w:rsidRPr="00266D66">
              <w:rPr>
                <w:sz w:val="20"/>
                <w:szCs w:val="20"/>
                <w:lang w:val="uk-UA"/>
              </w:rPr>
              <w:t>Державні будівельні норми України ДБН В.2.5-74:2013 «Водопостачання. Зовнішні мережі та споруди»</w:t>
            </w:r>
          </w:p>
          <w:p w14:paraId="56462545" w14:textId="77777777" w:rsidR="00266D66" w:rsidRPr="00266D66" w:rsidRDefault="00266D66" w:rsidP="00266D66">
            <w:pPr>
              <w:ind w:firstLine="720"/>
              <w:jc w:val="both"/>
              <w:rPr>
                <w:sz w:val="20"/>
                <w:szCs w:val="20"/>
                <w:lang w:val="uk-UA"/>
              </w:rPr>
            </w:pPr>
            <w:r w:rsidRPr="00266D66">
              <w:rPr>
                <w:sz w:val="20"/>
                <w:szCs w:val="20"/>
                <w:lang w:val="uk-UA"/>
              </w:rPr>
              <w:t>Державні будівельні норми України ДБН В.2.5-75:2013 «Каналізація. Зовнішні мережі та споруди»</w:t>
            </w:r>
          </w:p>
          <w:p w14:paraId="5C10A87F" w14:textId="77777777" w:rsidR="00266D66" w:rsidRPr="00266D66" w:rsidRDefault="00266D66" w:rsidP="00266D66">
            <w:pPr>
              <w:ind w:firstLine="720"/>
              <w:jc w:val="both"/>
              <w:rPr>
                <w:sz w:val="20"/>
                <w:szCs w:val="20"/>
                <w:lang w:val="uk-UA"/>
              </w:rPr>
            </w:pPr>
            <w:r w:rsidRPr="00266D66">
              <w:rPr>
                <w:sz w:val="20"/>
                <w:szCs w:val="20"/>
                <w:lang w:val="uk-UA"/>
              </w:rPr>
              <w:t xml:space="preserve">Технічні умови Державного стандарту України БВ 2.5-26:2005 (ГОСТ 3634-99) «Люки оглядових колодязів і дощоприймачі зливо стічних колодязів» </w:t>
            </w:r>
          </w:p>
          <w:p w14:paraId="061D0794" w14:textId="77777777" w:rsidR="00266D66" w:rsidRPr="00266D66" w:rsidRDefault="00266D66" w:rsidP="00266D66">
            <w:pPr>
              <w:rPr>
                <w:sz w:val="20"/>
                <w:szCs w:val="20"/>
                <w:lang w:val="uk-UA"/>
              </w:rPr>
            </w:pPr>
            <w:r w:rsidRPr="00266D66">
              <w:rPr>
                <w:sz w:val="20"/>
                <w:szCs w:val="20"/>
                <w:lang w:val="uk-UA"/>
              </w:rPr>
              <w:t>та інших законодавчих і нормативно-правових актів.</w:t>
            </w:r>
          </w:p>
        </w:tc>
      </w:tr>
      <w:tr w:rsidR="00266D66" w:rsidRPr="00266D66" w14:paraId="79A9657E"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157136FA" w14:textId="77777777" w:rsidR="00266D66" w:rsidRPr="00266D66" w:rsidRDefault="00266D66" w:rsidP="00266D66">
            <w:pPr>
              <w:rPr>
                <w:sz w:val="20"/>
                <w:szCs w:val="20"/>
                <w:lang w:val="uk-UA"/>
              </w:rPr>
            </w:pPr>
            <w:r w:rsidRPr="00266D66">
              <w:rPr>
                <w:sz w:val="20"/>
                <w:szCs w:val="20"/>
                <w:lang w:val="uk-UA"/>
              </w:rPr>
              <w:t>3.</w:t>
            </w:r>
          </w:p>
        </w:tc>
        <w:tc>
          <w:tcPr>
            <w:tcW w:w="3368" w:type="dxa"/>
            <w:tcBorders>
              <w:top w:val="single" w:sz="4" w:space="0" w:color="auto"/>
              <w:left w:val="single" w:sz="4" w:space="0" w:color="auto"/>
              <w:bottom w:val="single" w:sz="4" w:space="0" w:color="auto"/>
              <w:right w:val="single" w:sz="4" w:space="0" w:color="auto"/>
            </w:tcBorders>
          </w:tcPr>
          <w:p w14:paraId="3356DD94" w14:textId="77777777" w:rsidR="00266D66" w:rsidRPr="00266D66" w:rsidRDefault="00266D66" w:rsidP="00266D66">
            <w:pPr>
              <w:rPr>
                <w:sz w:val="20"/>
                <w:szCs w:val="20"/>
                <w:lang w:val="uk-UA"/>
              </w:rPr>
            </w:pPr>
            <w:r w:rsidRPr="00266D66">
              <w:rPr>
                <w:sz w:val="20"/>
                <w:szCs w:val="20"/>
                <w:lang w:val="uk-UA"/>
              </w:rPr>
              <w:t>Розробник програми</w:t>
            </w:r>
          </w:p>
        </w:tc>
        <w:tc>
          <w:tcPr>
            <w:tcW w:w="5931" w:type="dxa"/>
            <w:tcBorders>
              <w:top w:val="single" w:sz="4" w:space="0" w:color="auto"/>
              <w:left w:val="single" w:sz="4" w:space="0" w:color="auto"/>
              <w:bottom w:val="single" w:sz="4" w:space="0" w:color="auto"/>
              <w:right w:val="single" w:sz="4" w:space="0" w:color="auto"/>
            </w:tcBorders>
          </w:tcPr>
          <w:p w14:paraId="267F388E" w14:textId="77777777" w:rsidR="00266D66" w:rsidRPr="00266D66" w:rsidRDefault="00266D66" w:rsidP="00266D66">
            <w:pPr>
              <w:rPr>
                <w:sz w:val="20"/>
                <w:szCs w:val="20"/>
                <w:lang w:val="uk-UA"/>
              </w:rPr>
            </w:pPr>
            <w:r w:rsidRPr="00266D66">
              <w:rPr>
                <w:sz w:val="20"/>
                <w:szCs w:val="20"/>
                <w:lang w:val="uk-UA"/>
              </w:rPr>
              <w:t xml:space="preserve">Управління житлово-комунального господарства та будівництва </w:t>
            </w:r>
            <w:proofErr w:type="spellStart"/>
            <w:r w:rsidRPr="00266D66">
              <w:rPr>
                <w:sz w:val="20"/>
                <w:szCs w:val="20"/>
                <w:lang w:val="uk-UA"/>
              </w:rPr>
              <w:t>Ніжинськоїміської</w:t>
            </w:r>
            <w:proofErr w:type="spellEnd"/>
            <w:r w:rsidRPr="00266D66">
              <w:rPr>
                <w:sz w:val="20"/>
                <w:szCs w:val="20"/>
                <w:lang w:val="uk-UA"/>
              </w:rPr>
              <w:t xml:space="preserve"> ради</w:t>
            </w:r>
          </w:p>
        </w:tc>
      </w:tr>
      <w:tr w:rsidR="00266D66" w:rsidRPr="00266D66" w14:paraId="5C8E6367"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72A77EAB" w14:textId="77777777" w:rsidR="00266D66" w:rsidRPr="00266D66" w:rsidRDefault="00266D66" w:rsidP="00266D66">
            <w:pPr>
              <w:rPr>
                <w:sz w:val="20"/>
                <w:szCs w:val="20"/>
                <w:lang w:val="uk-UA"/>
              </w:rPr>
            </w:pPr>
            <w:r w:rsidRPr="00266D66">
              <w:rPr>
                <w:sz w:val="20"/>
                <w:szCs w:val="20"/>
                <w:lang w:val="uk-UA"/>
              </w:rPr>
              <w:t>4.</w:t>
            </w:r>
          </w:p>
        </w:tc>
        <w:tc>
          <w:tcPr>
            <w:tcW w:w="3368" w:type="dxa"/>
            <w:tcBorders>
              <w:top w:val="single" w:sz="4" w:space="0" w:color="auto"/>
              <w:left w:val="single" w:sz="4" w:space="0" w:color="auto"/>
              <w:bottom w:val="single" w:sz="4" w:space="0" w:color="auto"/>
              <w:right w:val="single" w:sz="4" w:space="0" w:color="auto"/>
            </w:tcBorders>
          </w:tcPr>
          <w:p w14:paraId="1EB3558B" w14:textId="77777777" w:rsidR="00266D66" w:rsidRPr="00266D66" w:rsidRDefault="00266D66" w:rsidP="00266D66">
            <w:pPr>
              <w:rPr>
                <w:sz w:val="20"/>
                <w:szCs w:val="20"/>
                <w:lang w:val="uk-UA"/>
              </w:rPr>
            </w:pPr>
            <w:r w:rsidRPr="00266D66">
              <w:rPr>
                <w:sz w:val="20"/>
                <w:szCs w:val="20"/>
                <w:lang w:val="uk-UA"/>
              </w:rPr>
              <w:t>Головний розпорядник бюджетних коштів</w:t>
            </w:r>
          </w:p>
        </w:tc>
        <w:tc>
          <w:tcPr>
            <w:tcW w:w="5931" w:type="dxa"/>
            <w:tcBorders>
              <w:top w:val="single" w:sz="4" w:space="0" w:color="auto"/>
              <w:left w:val="single" w:sz="4" w:space="0" w:color="auto"/>
              <w:bottom w:val="single" w:sz="4" w:space="0" w:color="auto"/>
              <w:right w:val="single" w:sz="4" w:space="0" w:color="auto"/>
            </w:tcBorders>
          </w:tcPr>
          <w:p w14:paraId="60E56CDE" w14:textId="77777777" w:rsidR="00266D66" w:rsidRPr="00266D66" w:rsidRDefault="00266D66" w:rsidP="00266D66">
            <w:pPr>
              <w:rPr>
                <w:sz w:val="20"/>
                <w:szCs w:val="20"/>
                <w:lang w:val="uk-UA"/>
              </w:rPr>
            </w:pPr>
            <w:r w:rsidRPr="00266D66">
              <w:rPr>
                <w:sz w:val="20"/>
                <w:szCs w:val="20"/>
                <w:lang w:val="uk-UA"/>
              </w:rPr>
              <w:t xml:space="preserve">Управління житлово-комунального господарства та будівництва </w:t>
            </w:r>
            <w:proofErr w:type="spellStart"/>
            <w:r w:rsidRPr="00266D66">
              <w:rPr>
                <w:sz w:val="20"/>
                <w:szCs w:val="20"/>
                <w:lang w:val="uk-UA"/>
              </w:rPr>
              <w:t>Ніжинськоїміської</w:t>
            </w:r>
            <w:proofErr w:type="spellEnd"/>
            <w:r w:rsidRPr="00266D66">
              <w:rPr>
                <w:sz w:val="20"/>
                <w:szCs w:val="20"/>
                <w:lang w:val="uk-UA"/>
              </w:rPr>
              <w:t xml:space="preserve"> ради</w:t>
            </w:r>
          </w:p>
        </w:tc>
      </w:tr>
      <w:tr w:rsidR="00266D66" w:rsidRPr="00266D66" w14:paraId="51D896A9"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5D884FB1" w14:textId="77777777" w:rsidR="00266D66" w:rsidRPr="00266D66" w:rsidRDefault="00266D66" w:rsidP="00266D66">
            <w:pPr>
              <w:rPr>
                <w:sz w:val="20"/>
                <w:szCs w:val="20"/>
                <w:lang w:val="uk-UA"/>
              </w:rPr>
            </w:pPr>
            <w:r w:rsidRPr="00266D66">
              <w:rPr>
                <w:sz w:val="20"/>
                <w:szCs w:val="20"/>
                <w:lang w:val="uk-UA"/>
              </w:rPr>
              <w:t>5.</w:t>
            </w:r>
          </w:p>
        </w:tc>
        <w:tc>
          <w:tcPr>
            <w:tcW w:w="3368" w:type="dxa"/>
            <w:tcBorders>
              <w:top w:val="single" w:sz="4" w:space="0" w:color="auto"/>
              <w:left w:val="single" w:sz="4" w:space="0" w:color="auto"/>
              <w:bottom w:val="single" w:sz="4" w:space="0" w:color="auto"/>
              <w:right w:val="single" w:sz="4" w:space="0" w:color="auto"/>
            </w:tcBorders>
          </w:tcPr>
          <w:p w14:paraId="51661B02" w14:textId="77777777" w:rsidR="00266D66" w:rsidRPr="00266D66" w:rsidRDefault="00266D66" w:rsidP="00266D66">
            <w:pPr>
              <w:rPr>
                <w:sz w:val="20"/>
                <w:szCs w:val="20"/>
                <w:lang w:val="uk-UA"/>
              </w:rPr>
            </w:pPr>
            <w:r w:rsidRPr="00266D66">
              <w:rPr>
                <w:sz w:val="20"/>
                <w:szCs w:val="20"/>
                <w:lang w:val="uk-UA"/>
              </w:rPr>
              <w:t>Відповідальні виконавці програми(учасники програми)</w:t>
            </w:r>
          </w:p>
        </w:tc>
        <w:tc>
          <w:tcPr>
            <w:tcW w:w="5931" w:type="dxa"/>
            <w:tcBorders>
              <w:top w:val="single" w:sz="4" w:space="0" w:color="auto"/>
              <w:left w:val="single" w:sz="4" w:space="0" w:color="auto"/>
              <w:bottom w:val="single" w:sz="4" w:space="0" w:color="auto"/>
              <w:right w:val="single" w:sz="4" w:space="0" w:color="auto"/>
            </w:tcBorders>
          </w:tcPr>
          <w:p w14:paraId="5526F02B" w14:textId="77777777" w:rsidR="00266D66" w:rsidRPr="00266D66" w:rsidRDefault="00266D66" w:rsidP="00266D66">
            <w:pPr>
              <w:rPr>
                <w:sz w:val="20"/>
                <w:szCs w:val="20"/>
                <w:lang w:val="uk-UA"/>
              </w:rPr>
            </w:pPr>
            <w:r w:rsidRPr="00266D66">
              <w:rPr>
                <w:sz w:val="20"/>
                <w:szCs w:val="20"/>
                <w:lang w:val="uk-UA"/>
              </w:rPr>
              <w:t>КП «НУВКГ»</w:t>
            </w:r>
          </w:p>
        </w:tc>
      </w:tr>
      <w:tr w:rsidR="00266D66" w:rsidRPr="00266D66" w14:paraId="2B8EF6FB"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7D18A097" w14:textId="77777777" w:rsidR="00266D66" w:rsidRPr="00266D66" w:rsidRDefault="00266D66" w:rsidP="00266D66">
            <w:pPr>
              <w:rPr>
                <w:sz w:val="20"/>
                <w:szCs w:val="20"/>
                <w:lang w:val="uk-UA"/>
              </w:rPr>
            </w:pPr>
            <w:r w:rsidRPr="00266D66">
              <w:rPr>
                <w:sz w:val="20"/>
                <w:szCs w:val="20"/>
                <w:lang w:val="uk-UA"/>
              </w:rPr>
              <w:t>6.</w:t>
            </w:r>
          </w:p>
        </w:tc>
        <w:tc>
          <w:tcPr>
            <w:tcW w:w="3368" w:type="dxa"/>
            <w:tcBorders>
              <w:top w:val="single" w:sz="4" w:space="0" w:color="auto"/>
              <w:left w:val="single" w:sz="4" w:space="0" w:color="auto"/>
              <w:bottom w:val="single" w:sz="4" w:space="0" w:color="auto"/>
              <w:right w:val="single" w:sz="4" w:space="0" w:color="auto"/>
            </w:tcBorders>
          </w:tcPr>
          <w:p w14:paraId="34D5C0D6" w14:textId="77777777" w:rsidR="00266D66" w:rsidRPr="00266D66" w:rsidRDefault="00266D66" w:rsidP="00266D66">
            <w:pPr>
              <w:rPr>
                <w:sz w:val="20"/>
                <w:szCs w:val="20"/>
                <w:lang w:val="uk-UA"/>
              </w:rPr>
            </w:pPr>
            <w:r w:rsidRPr="00266D66">
              <w:rPr>
                <w:sz w:val="20"/>
                <w:szCs w:val="20"/>
                <w:lang w:val="uk-UA"/>
              </w:rPr>
              <w:t>Термін реалізації програми</w:t>
            </w:r>
          </w:p>
        </w:tc>
        <w:tc>
          <w:tcPr>
            <w:tcW w:w="5931" w:type="dxa"/>
            <w:tcBorders>
              <w:top w:val="single" w:sz="4" w:space="0" w:color="auto"/>
              <w:left w:val="single" w:sz="4" w:space="0" w:color="auto"/>
              <w:bottom w:val="single" w:sz="4" w:space="0" w:color="auto"/>
              <w:right w:val="single" w:sz="4" w:space="0" w:color="auto"/>
            </w:tcBorders>
          </w:tcPr>
          <w:p w14:paraId="07538E83" w14:textId="77777777" w:rsidR="00266D66" w:rsidRPr="00266D66" w:rsidRDefault="00266D66" w:rsidP="00266D66">
            <w:pPr>
              <w:rPr>
                <w:sz w:val="20"/>
                <w:szCs w:val="20"/>
                <w:lang w:val="uk-UA"/>
              </w:rPr>
            </w:pPr>
            <w:r w:rsidRPr="00266D66">
              <w:rPr>
                <w:sz w:val="20"/>
                <w:szCs w:val="20"/>
                <w:lang w:val="uk-UA"/>
              </w:rPr>
              <w:t>2024р.</w:t>
            </w:r>
          </w:p>
        </w:tc>
      </w:tr>
      <w:tr w:rsidR="00266D66" w:rsidRPr="00266D66" w14:paraId="335D9E05"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26A5C849" w14:textId="77777777" w:rsidR="00266D66" w:rsidRPr="00266D66" w:rsidRDefault="00266D66" w:rsidP="00266D66">
            <w:pPr>
              <w:rPr>
                <w:sz w:val="20"/>
                <w:szCs w:val="20"/>
                <w:lang w:val="uk-UA"/>
              </w:rPr>
            </w:pPr>
            <w:r w:rsidRPr="00266D66">
              <w:rPr>
                <w:sz w:val="20"/>
                <w:szCs w:val="20"/>
                <w:lang w:val="uk-UA"/>
              </w:rPr>
              <w:t>7.</w:t>
            </w:r>
          </w:p>
        </w:tc>
        <w:tc>
          <w:tcPr>
            <w:tcW w:w="3368" w:type="dxa"/>
            <w:tcBorders>
              <w:top w:val="single" w:sz="4" w:space="0" w:color="auto"/>
              <w:left w:val="single" w:sz="4" w:space="0" w:color="auto"/>
              <w:bottom w:val="single" w:sz="4" w:space="0" w:color="auto"/>
              <w:right w:val="single" w:sz="4" w:space="0" w:color="auto"/>
            </w:tcBorders>
          </w:tcPr>
          <w:p w14:paraId="41016ED6" w14:textId="77777777" w:rsidR="00266D66" w:rsidRPr="00266D66" w:rsidRDefault="00266D66" w:rsidP="00266D66">
            <w:pPr>
              <w:rPr>
                <w:sz w:val="20"/>
                <w:szCs w:val="20"/>
                <w:lang w:val="uk-UA"/>
              </w:rPr>
            </w:pPr>
            <w:r w:rsidRPr="00266D66">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6F05EB2B" w14:textId="77777777" w:rsidR="00266D66" w:rsidRPr="00266D66" w:rsidRDefault="00266D66" w:rsidP="00266D66">
            <w:pPr>
              <w:rPr>
                <w:sz w:val="20"/>
                <w:szCs w:val="20"/>
                <w:lang w:val="uk-UA"/>
              </w:rPr>
            </w:pPr>
            <w:r w:rsidRPr="00266D66">
              <w:rPr>
                <w:sz w:val="20"/>
                <w:szCs w:val="20"/>
                <w:lang w:val="uk-UA"/>
              </w:rPr>
              <w:t xml:space="preserve">у </w:t>
            </w:r>
            <w:r w:rsidRPr="00266D66">
              <w:rPr>
                <w:spacing w:val="-6"/>
                <w:sz w:val="20"/>
                <w:szCs w:val="20"/>
                <w:lang w:val="uk-UA"/>
              </w:rPr>
              <w:t>тому числі:</w:t>
            </w:r>
          </w:p>
        </w:tc>
        <w:tc>
          <w:tcPr>
            <w:tcW w:w="5931" w:type="dxa"/>
            <w:tcBorders>
              <w:top w:val="single" w:sz="4" w:space="0" w:color="auto"/>
              <w:left w:val="single" w:sz="4" w:space="0" w:color="auto"/>
              <w:bottom w:val="single" w:sz="4" w:space="0" w:color="auto"/>
              <w:right w:val="single" w:sz="4" w:space="0" w:color="auto"/>
            </w:tcBorders>
          </w:tcPr>
          <w:p w14:paraId="511BD23F" w14:textId="77777777" w:rsidR="00266D66" w:rsidRPr="00266D66" w:rsidRDefault="00266D66" w:rsidP="00266D66">
            <w:pPr>
              <w:rPr>
                <w:sz w:val="20"/>
                <w:szCs w:val="20"/>
                <w:lang w:val="uk-UA"/>
              </w:rPr>
            </w:pPr>
            <w:r w:rsidRPr="00266D66">
              <w:rPr>
                <w:sz w:val="20"/>
                <w:szCs w:val="20"/>
                <w:highlight w:val="yellow"/>
                <w:lang w:val="uk-UA"/>
              </w:rPr>
              <w:t>605 000,00 грн.</w:t>
            </w:r>
          </w:p>
        </w:tc>
      </w:tr>
      <w:tr w:rsidR="00266D66" w:rsidRPr="00266D66" w14:paraId="50B9E24E"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2983E535" w14:textId="77777777" w:rsidR="00266D66" w:rsidRPr="00266D66" w:rsidRDefault="00266D66" w:rsidP="00266D66">
            <w:pPr>
              <w:rPr>
                <w:sz w:val="20"/>
                <w:szCs w:val="20"/>
                <w:lang w:val="uk-UA"/>
              </w:rPr>
            </w:pPr>
            <w:r w:rsidRPr="00266D66">
              <w:rPr>
                <w:sz w:val="20"/>
                <w:szCs w:val="20"/>
                <w:lang w:val="uk-UA"/>
              </w:rPr>
              <w:t>7.1.</w:t>
            </w:r>
          </w:p>
        </w:tc>
        <w:tc>
          <w:tcPr>
            <w:tcW w:w="3368" w:type="dxa"/>
            <w:tcBorders>
              <w:top w:val="single" w:sz="4" w:space="0" w:color="auto"/>
              <w:left w:val="single" w:sz="4" w:space="0" w:color="auto"/>
              <w:bottom w:val="single" w:sz="4" w:space="0" w:color="auto"/>
              <w:right w:val="single" w:sz="4" w:space="0" w:color="auto"/>
            </w:tcBorders>
          </w:tcPr>
          <w:p w14:paraId="43FCEF5B" w14:textId="77777777" w:rsidR="00266D66" w:rsidRPr="00266D66" w:rsidRDefault="00266D66" w:rsidP="00266D66">
            <w:pPr>
              <w:rPr>
                <w:sz w:val="20"/>
                <w:szCs w:val="20"/>
                <w:lang w:val="uk-UA"/>
              </w:rPr>
            </w:pPr>
            <w:r w:rsidRPr="00266D66">
              <w:rPr>
                <w:sz w:val="20"/>
                <w:szCs w:val="20"/>
                <w:lang w:val="uk-UA"/>
              </w:rPr>
              <w:t>Кошти   бюджету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14:paraId="59774C60" w14:textId="77777777" w:rsidR="00266D66" w:rsidRPr="00266D66" w:rsidRDefault="00266D66" w:rsidP="00266D66">
            <w:pPr>
              <w:rPr>
                <w:sz w:val="20"/>
                <w:szCs w:val="20"/>
                <w:lang w:val="uk-UA"/>
              </w:rPr>
            </w:pPr>
            <w:r w:rsidRPr="00266D66">
              <w:rPr>
                <w:sz w:val="20"/>
                <w:szCs w:val="20"/>
                <w:highlight w:val="yellow"/>
                <w:lang w:val="uk-UA"/>
              </w:rPr>
              <w:t>605 000,00 грн.</w:t>
            </w:r>
          </w:p>
        </w:tc>
      </w:tr>
      <w:tr w:rsidR="00266D66" w:rsidRPr="00266D66" w14:paraId="390B8C55"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062BA59A" w14:textId="77777777" w:rsidR="00266D66" w:rsidRPr="00266D66" w:rsidRDefault="00266D66" w:rsidP="00266D66">
            <w:pPr>
              <w:rPr>
                <w:sz w:val="20"/>
                <w:szCs w:val="20"/>
                <w:lang w:val="uk-UA"/>
              </w:rPr>
            </w:pPr>
            <w:r w:rsidRPr="00266D66">
              <w:rPr>
                <w:sz w:val="20"/>
                <w:szCs w:val="20"/>
                <w:lang w:val="uk-UA"/>
              </w:rPr>
              <w:t>7.2.</w:t>
            </w:r>
          </w:p>
        </w:tc>
        <w:tc>
          <w:tcPr>
            <w:tcW w:w="3368" w:type="dxa"/>
            <w:tcBorders>
              <w:top w:val="single" w:sz="4" w:space="0" w:color="auto"/>
              <w:left w:val="single" w:sz="4" w:space="0" w:color="auto"/>
              <w:bottom w:val="single" w:sz="4" w:space="0" w:color="auto"/>
              <w:right w:val="single" w:sz="4" w:space="0" w:color="auto"/>
            </w:tcBorders>
          </w:tcPr>
          <w:p w14:paraId="537CC190" w14:textId="77777777" w:rsidR="00266D66" w:rsidRPr="00266D66" w:rsidRDefault="00266D66" w:rsidP="00266D66">
            <w:pPr>
              <w:rPr>
                <w:sz w:val="20"/>
                <w:szCs w:val="20"/>
                <w:lang w:val="uk-UA"/>
              </w:rPr>
            </w:pPr>
            <w:r w:rsidRPr="00266D66">
              <w:rPr>
                <w:sz w:val="20"/>
                <w:szCs w:val="20"/>
                <w:lang w:val="uk-UA"/>
              </w:rPr>
              <w:t>Кошти  інших джерел</w:t>
            </w:r>
          </w:p>
        </w:tc>
        <w:tc>
          <w:tcPr>
            <w:tcW w:w="5931" w:type="dxa"/>
            <w:tcBorders>
              <w:top w:val="single" w:sz="4" w:space="0" w:color="auto"/>
              <w:left w:val="single" w:sz="4" w:space="0" w:color="auto"/>
              <w:bottom w:val="single" w:sz="4" w:space="0" w:color="auto"/>
              <w:right w:val="single" w:sz="4" w:space="0" w:color="auto"/>
            </w:tcBorders>
          </w:tcPr>
          <w:p w14:paraId="741A8920" w14:textId="77777777" w:rsidR="00266D66" w:rsidRPr="00266D66" w:rsidRDefault="00266D66" w:rsidP="00266D66">
            <w:pPr>
              <w:rPr>
                <w:sz w:val="20"/>
                <w:szCs w:val="20"/>
                <w:lang w:val="uk-UA"/>
              </w:rPr>
            </w:pPr>
            <w:r w:rsidRPr="00266D66">
              <w:rPr>
                <w:sz w:val="20"/>
                <w:szCs w:val="20"/>
                <w:lang w:val="uk-UA"/>
              </w:rPr>
              <w:t>—</w:t>
            </w:r>
          </w:p>
        </w:tc>
      </w:tr>
    </w:tbl>
    <w:p w14:paraId="0B136E87" w14:textId="77777777" w:rsidR="00266D66" w:rsidRPr="00266D66" w:rsidRDefault="00266D66" w:rsidP="00266D66">
      <w:pPr>
        <w:keepNext/>
        <w:widowControl w:val="0"/>
        <w:numPr>
          <w:ilvl w:val="0"/>
          <w:numId w:val="39"/>
        </w:numPr>
        <w:tabs>
          <w:tab w:val="left" w:pos="0"/>
        </w:tabs>
        <w:autoSpaceDE w:val="0"/>
        <w:autoSpaceDN w:val="0"/>
        <w:contextualSpacing/>
        <w:jc w:val="center"/>
        <w:rPr>
          <w:b/>
          <w:lang w:val="uk-UA"/>
        </w:rPr>
      </w:pPr>
      <w:r w:rsidRPr="00266D66">
        <w:rPr>
          <w:b/>
          <w:lang w:val="uk-UA"/>
        </w:rPr>
        <w:t>Проблеми, на розв’язання якої спрямована Програма</w:t>
      </w:r>
    </w:p>
    <w:p w14:paraId="0383D5C3" w14:textId="77777777" w:rsidR="00266D66" w:rsidRPr="00266D66" w:rsidRDefault="00266D66" w:rsidP="00266D66">
      <w:pPr>
        <w:ind w:firstLine="567"/>
        <w:jc w:val="both"/>
        <w:rPr>
          <w:lang w:val="uk-UA" w:eastAsia="uk-UA"/>
        </w:rPr>
      </w:pPr>
      <w:r w:rsidRPr="00266D66">
        <w:rPr>
          <w:lang w:val="uk-UA" w:eastAsia="uk-UA"/>
        </w:rPr>
        <w:t xml:space="preserve">Програма </w:t>
      </w:r>
      <w:r w:rsidRPr="00266D66">
        <w:rPr>
          <w:rFonts w:eastAsia="Calibri"/>
          <w:lang w:val="uk-UA" w:eastAsia="uk-UA"/>
        </w:rPr>
        <w:t xml:space="preserve">Заходів </w:t>
      </w:r>
      <w:r w:rsidRPr="00266D66">
        <w:rPr>
          <w:lang w:val="uk-UA" w:eastAsia="uk-UA"/>
        </w:rPr>
        <w:t xml:space="preserve">КП «Ніжинське управління водопровідно-каналізаційного господарства» </w:t>
      </w:r>
      <w:r w:rsidRPr="00266D66">
        <w:rPr>
          <w:rFonts w:eastAsia="Calibri"/>
          <w:lang w:val="uk-UA" w:eastAsia="uk-UA"/>
        </w:rPr>
        <w:t xml:space="preserve">для включення до </w:t>
      </w:r>
      <w:r w:rsidRPr="00266D66">
        <w:rPr>
          <w:bCs/>
          <w:lang w:val="uk-UA" w:eastAsia="uk-UA"/>
        </w:rPr>
        <w:t xml:space="preserve">Міської цільової Програми </w:t>
      </w:r>
      <w:r w:rsidRPr="00266D66">
        <w:rPr>
          <w:bCs/>
          <w:i/>
          <w:lang w:val="uk-UA" w:eastAsia="uk-UA"/>
        </w:rPr>
        <w:t>«Розвитку комунального підприємства «Ніжинське управління водопровідно-каналізаційного господарства»</w:t>
      </w:r>
      <w:r w:rsidRPr="00266D66">
        <w:rPr>
          <w:bCs/>
          <w:lang w:val="uk-UA" w:eastAsia="uk-UA"/>
        </w:rPr>
        <w:t xml:space="preserve">  на  2024 рік»</w:t>
      </w:r>
      <w:r w:rsidRPr="00266D66">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w:t>
      </w:r>
      <w:r w:rsidRPr="00266D66">
        <w:rPr>
          <w:lang w:val="uk-UA" w:eastAsia="uk-UA"/>
        </w:rPr>
        <w:lastRenderedPageBreak/>
        <w:t xml:space="preserve">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14:paraId="73AC4D76" w14:textId="77777777" w:rsidR="00266D66" w:rsidRPr="00266D66" w:rsidRDefault="00266D66" w:rsidP="00266D66">
      <w:pPr>
        <w:ind w:firstLine="567"/>
        <w:jc w:val="both"/>
        <w:rPr>
          <w:lang w:val="uk-UA"/>
        </w:rPr>
      </w:pPr>
      <w:r w:rsidRPr="00266D66">
        <w:rPr>
          <w:lang w:val="uk-UA"/>
        </w:rPr>
        <w:t>Програма забезпечує збереження здоров'я, поліпшення умов діяльності й підвищення рівня життя мешканців м. Ніжина.</w:t>
      </w:r>
    </w:p>
    <w:p w14:paraId="3424ADD7" w14:textId="77777777" w:rsidR="00266D66" w:rsidRPr="00266D66" w:rsidRDefault="00266D66" w:rsidP="00266D66">
      <w:pPr>
        <w:ind w:firstLine="567"/>
        <w:jc w:val="both"/>
        <w:rPr>
          <w:lang w:val="uk-UA"/>
        </w:rPr>
      </w:pPr>
      <w:r w:rsidRPr="00266D66">
        <w:rPr>
          <w:lang w:val="uk-UA"/>
        </w:rPr>
        <w:t>Розроблення Програми обумовлено:</w:t>
      </w:r>
    </w:p>
    <w:p w14:paraId="7E2DE240" w14:textId="77777777" w:rsidR="00266D66" w:rsidRPr="00266D66" w:rsidRDefault="00266D66" w:rsidP="00266D66">
      <w:pPr>
        <w:ind w:firstLine="567"/>
        <w:jc w:val="both"/>
        <w:rPr>
          <w:bCs/>
          <w:lang w:val="uk-UA"/>
        </w:rPr>
      </w:pPr>
      <w:r w:rsidRPr="00266D66">
        <w:rPr>
          <w:lang w:val="uk-UA"/>
        </w:rPr>
        <w:t>- незадовільним технічним станом та зношеністю основних фондів систем водопостачання та водовідведення м. Ніжина;</w:t>
      </w:r>
    </w:p>
    <w:p w14:paraId="414DA697" w14:textId="77777777" w:rsidR="00266D66" w:rsidRPr="00266D66" w:rsidRDefault="00266D66" w:rsidP="00266D66">
      <w:pPr>
        <w:tabs>
          <w:tab w:val="left" w:pos="0"/>
        </w:tabs>
        <w:ind w:firstLine="567"/>
        <w:jc w:val="both"/>
        <w:rPr>
          <w:lang w:val="uk-UA"/>
        </w:rPr>
      </w:pPr>
      <w:r w:rsidRPr="00266D66">
        <w:rPr>
          <w:bCs/>
          <w:lang w:val="uk-UA"/>
        </w:rPr>
        <w:t xml:space="preserve">- </w:t>
      </w:r>
      <w:r w:rsidRPr="00266D66">
        <w:rPr>
          <w:lang w:val="uk-UA"/>
        </w:rPr>
        <w:t>застосуванням застарілого обладнання в системах водопостачання та водовідведення;</w:t>
      </w:r>
    </w:p>
    <w:p w14:paraId="5AFCB3B7" w14:textId="77777777" w:rsidR="00266D66" w:rsidRPr="00266D66" w:rsidRDefault="00266D66" w:rsidP="00266D66">
      <w:pPr>
        <w:ind w:firstLine="567"/>
        <w:jc w:val="both"/>
        <w:rPr>
          <w:lang w:val="uk-UA"/>
        </w:rPr>
      </w:pPr>
      <w:r w:rsidRPr="00266D66">
        <w:rPr>
          <w:lang w:val="uk-UA"/>
        </w:rPr>
        <w:t>- високою енергоємністю обладнання систем централізованого питного водопостачання та водовідведення;</w:t>
      </w:r>
    </w:p>
    <w:p w14:paraId="2B874A8C" w14:textId="77777777" w:rsidR="00266D66" w:rsidRPr="00266D66" w:rsidRDefault="00266D66" w:rsidP="00266D66">
      <w:pPr>
        <w:ind w:firstLine="540"/>
        <w:jc w:val="both"/>
        <w:rPr>
          <w:lang w:val="uk-UA"/>
        </w:rPr>
      </w:pPr>
      <w:r w:rsidRPr="00266D66">
        <w:rPr>
          <w:lang w:val="uk-UA"/>
        </w:rPr>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0043B940" w14:textId="77777777" w:rsidR="00266D66" w:rsidRPr="00266D66" w:rsidRDefault="00266D66" w:rsidP="00266D66">
      <w:pPr>
        <w:ind w:firstLine="540"/>
        <w:jc w:val="both"/>
        <w:rPr>
          <w:lang w:val="uk-UA"/>
        </w:rPr>
      </w:pPr>
      <w:r w:rsidRPr="00266D66">
        <w:rPr>
          <w:lang w:val="uk-UA"/>
        </w:rPr>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14:paraId="41267E4D" w14:textId="77777777" w:rsidR="00266D66" w:rsidRPr="00266D66" w:rsidRDefault="00266D66" w:rsidP="00266D66">
      <w:pPr>
        <w:ind w:firstLine="540"/>
        <w:jc w:val="both"/>
        <w:rPr>
          <w:lang w:val="uk-UA"/>
        </w:rPr>
      </w:pPr>
      <w:r w:rsidRPr="00266D66">
        <w:rPr>
          <w:lang w:val="uk-UA"/>
        </w:rPr>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7CC836B3" w14:textId="77777777" w:rsidR="00266D66" w:rsidRPr="00266D66" w:rsidRDefault="00266D66" w:rsidP="00266D66">
      <w:pPr>
        <w:ind w:firstLine="540"/>
        <w:jc w:val="both"/>
        <w:rPr>
          <w:lang w:val="uk-UA"/>
        </w:rPr>
      </w:pPr>
      <w:r w:rsidRPr="00266D66">
        <w:rPr>
          <w:lang w:val="uk-UA"/>
        </w:rPr>
        <w:t>Основними напрямками Програми є:</w:t>
      </w:r>
    </w:p>
    <w:p w14:paraId="27E75A61" w14:textId="77777777" w:rsidR="00266D66" w:rsidRPr="00266D66" w:rsidRDefault="00266D66" w:rsidP="00266D66">
      <w:pPr>
        <w:numPr>
          <w:ilvl w:val="0"/>
          <w:numId w:val="37"/>
        </w:numPr>
        <w:jc w:val="both"/>
        <w:rPr>
          <w:lang w:val="uk-UA"/>
        </w:rPr>
      </w:pPr>
      <w:r w:rsidRPr="00266D66">
        <w:rPr>
          <w:lang w:val="uk-UA"/>
        </w:rPr>
        <w:t>поліпшення якості води;</w:t>
      </w:r>
    </w:p>
    <w:p w14:paraId="7182FDB2" w14:textId="77777777" w:rsidR="00266D66" w:rsidRPr="00266D66" w:rsidRDefault="00266D66" w:rsidP="00266D66">
      <w:pPr>
        <w:numPr>
          <w:ilvl w:val="0"/>
          <w:numId w:val="37"/>
        </w:numPr>
        <w:jc w:val="both"/>
        <w:rPr>
          <w:lang w:val="uk-UA"/>
        </w:rPr>
      </w:pPr>
      <w:r w:rsidRPr="00266D66">
        <w:rPr>
          <w:lang w:val="uk-UA"/>
        </w:rPr>
        <w:t>підвищення надійності роботи систем централізованого водопостачання та водовідведення;</w:t>
      </w:r>
    </w:p>
    <w:p w14:paraId="494B9A49" w14:textId="77777777" w:rsidR="00266D66" w:rsidRPr="00266D66" w:rsidRDefault="00266D66" w:rsidP="00266D66">
      <w:pPr>
        <w:numPr>
          <w:ilvl w:val="0"/>
          <w:numId w:val="37"/>
        </w:numPr>
        <w:jc w:val="both"/>
        <w:rPr>
          <w:lang w:val="uk-UA"/>
        </w:rPr>
      </w:pPr>
      <w:r w:rsidRPr="00266D66">
        <w:rPr>
          <w:lang w:val="uk-UA"/>
        </w:rPr>
        <w:t>скорочення невиробничих втрат води і витоків;</w:t>
      </w:r>
    </w:p>
    <w:p w14:paraId="746ACFD6" w14:textId="77777777" w:rsidR="00266D66" w:rsidRPr="00266D66" w:rsidRDefault="00266D66" w:rsidP="00266D66">
      <w:pPr>
        <w:numPr>
          <w:ilvl w:val="0"/>
          <w:numId w:val="37"/>
        </w:numPr>
        <w:jc w:val="both"/>
        <w:rPr>
          <w:lang w:val="uk-UA"/>
        </w:rPr>
      </w:pPr>
      <w:r w:rsidRPr="00266D66">
        <w:rPr>
          <w:lang w:val="uk-UA"/>
        </w:rPr>
        <w:t>підвищення ефективності використання енергетичних і матеріальних ресурсів;</w:t>
      </w:r>
    </w:p>
    <w:p w14:paraId="40B44578" w14:textId="77777777" w:rsidR="00266D66" w:rsidRPr="00266D66" w:rsidRDefault="00266D66" w:rsidP="00266D66">
      <w:pPr>
        <w:numPr>
          <w:ilvl w:val="0"/>
          <w:numId w:val="37"/>
        </w:numPr>
        <w:jc w:val="both"/>
        <w:rPr>
          <w:lang w:val="uk-UA"/>
        </w:rPr>
      </w:pPr>
      <w:r w:rsidRPr="00266D66">
        <w:rPr>
          <w:lang w:val="uk-UA"/>
        </w:rPr>
        <w:t>економія водних ресурсів;</w:t>
      </w:r>
    </w:p>
    <w:p w14:paraId="5ED9E8D4" w14:textId="77777777" w:rsidR="00266D66" w:rsidRPr="00266D66" w:rsidRDefault="00266D66" w:rsidP="00266D66">
      <w:pPr>
        <w:numPr>
          <w:ilvl w:val="0"/>
          <w:numId w:val="37"/>
        </w:numPr>
        <w:jc w:val="both"/>
        <w:rPr>
          <w:lang w:val="uk-UA"/>
        </w:rPr>
      </w:pPr>
      <w:r w:rsidRPr="00266D66">
        <w:rPr>
          <w:lang w:val="uk-UA"/>
        </w:rPr>
        <w:t>удосконалення системи управління;</w:t>
      </w:r>
    </w:p>
    <w:p w14:paraId="68C5FDDB" w14:textId="77777777" w:rsidR="00266D66" w:rsidRPr="00266D66" w:rsidRDefault="00266D66" w:rsidP="00266D66">
      <w:pPr>
        <w:numPr>
          <w:ilvl w:val="0"/>
          <w:numId w:val="37"/>
        </w:numPr>
        <w:jc w:val="both"/>
        <w:rPr>
          <w:lang w:val="uk-UA"/>
        </w:rPr>
      </w:pPr>
      <w:r w:rsidRPr="00266D66">
        <w:rPr>
          <w:lang w:val="uk-UA"/>
        </w:rPr>
        <w:t>забезпечення беззбиткового функціонування систем.</w:t>
      </w:r>
    </w:p>
    <w:p w14:paraId="0EA8A988" w14:textId="77777777" w:rsidR="00266D66" w:rsidRPr="00266D66" w:rsidRDefault="00266D66" w:rsidP="00266D66">
      <w:pPr>
        <w:numPr>
          <w:ilvl w:val="0"/>
          <w:numId w:val="36"/>
        </w:numPr>
        <w:autoSpaceDE w:val="0"/>
        <w:autoSpaceDN w:val="0"/>
        <w:adjustRightInd w:val="0"/>
        <w:ind w:left="714" w:hanging="357"/>
        <w:jc w:val="center"/>
        <w:rPr>
          <w:rFonts w:eastAsia="Calibri"/>
          <w:b/>
          <w:lang w:val="uk-UA"/>
        </w:rPr>
      </w:pPr>
      <w:r w:rsidRPr="00266D66">
        <w:rPr>
          <w:rFonts w:eastAsia="Calibri"/>
          <w:b/>
          <w:lang w:val="uk-UA"/>
        </w:rPr>
        <w:t>Мета Програми</w:t>
      </w:r>
    </w:p>
    <w:p w14:paraId="777C7A41" w14:textId="77777777" w:rsidR="00266D66" w:rsidRPr="00266D66" w:rsidRDefault="00266D66" w:rsidP="00266D66">
      <w:pPr>
        <w:ind w:firstLine="540"/>
        <w:jc w:val="both"/>
        <w:rPr>
          <w:iCs/>
          <w:lang w:val="uk-UA"/>
        </w:rPr>
      </w:pPr>
      <w:r w:rsidRPr="00266D66">
        <w:rPr>
          <w:iCs/>
          <w:lang w:val="uk-UA"/>
        </w:rPr>
        <w:t>Мета Програми – задоволення потреб споживачів м. Ніжина 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266D66">
        <w:rPr>
          <w:lang w:val="uk-UA"/>
        </w:rPr>
        <w:t xml:space="preserve"> поліпшення санітарно-епідеміологічного та екологічного стану</w:t>
      </w:r>
      <w:r w:rsidRPr="00266D66">
        <w:rPr>
          <w:bCs/>
          <w:lang w:val="uk-UA"/>
        </w:rPr>
        <w:t xml:space="preserve">, запобігання виникненню </w:t>
      </w:r>
      <w:r w:rsidRPr="00266D66">
        <w:rPr>
          <w:lang w:val="uk-UA"/>
        </w:rPr>
        <w:t>надзвичайних екологічних ситуацій,</w:t>
      </w:r>
      <w:r w:rsidRPr="00266D66">
        <w:rPr>
          <w:iCs/>
          <w:lang w:val="uk-UA"/>
        </w:rPr>
        <w:t xml:space="preserve"> приведення накриття каналізаційних та водопровідних колодязів до належного стану, покращення благоустрою міста та зменшення випадків травматизму та аварійних ситуацій.</w:t>
      </w:r>
    </w:p>
    <w:p w14:paraId="7D6B0420" w14:textId="77777777" w:rsidR="00266D66" w:rsidRPr="00266D66" w:rsidRDefault="00266D66" w:rsidP="00266D66">
      <w:pPr>
        <w:ind w:firstLine="540"/>
        <w:jc w:val="both"/>
        <w:rPr>
          <w:lang w:val="uk-UA"/>
        </w:rPr>
      </w:pPr>
      <w:r w:rsidRPr="00266D66">
        <w:rPr>
          <w:lang w:val="uk-UA"/>
        </w:rPr>
        <w:t xml:space="preserve">Для досягнення цієї мети необхідне вирішення завдань щодо: </w:t>
      </w:r>
    </w:p>
    <w:p w14:paraId="0D8A2ADA" w14:textId="77777777" w:rsidR="00266D66" w:rsidRPr="00266D66" w:rsidRDefault="00266D66" w:rsidP="00266D66">
      <w:pPr>
        <w:numPr>
          <w:ilvl w:val="0"/>
          <w:numId w:val="38"/>
        </w:numPr>
        <w:rPr>
          <w:lang w:val="uk-UA"/>
        </w:rPr>
      </w:pPr>
      <w:r w:rsidRPr="00266D66">
        <w:rPr>
          <w:lang w:val="uk-UA"/>
        </w:rPr>
        <w:t>забезпечення, відповідно до потреб, фінансування заходів Програми з різних джерел: міський  бюджет та кошти підприємства;</w:t>
      </w:r>
    </w:p>
    <w:p w14:paraId="089A9DFA" w14:textId="77777777" w:rsidR="00266D66" w:rsidRPr="00266D66" w:rsidRDefault="00266D66" w:rsidP="00266D66">
      <w:pPr>
        <w:numPr>
          <w:ilvl w:val="0"/>
          <w:numId w:val="38"/>
        </w:numPr>
        <w:rPr>
          <w:lang w:val="uk-UA"/>
        </w:rPr>
      </w:pPr>
      <w:r w:rsidRPr="00266D66">
        <w:rPr>
          <w:lang w:val="uk-UA"/>
        </w:rPr>
        <w:t>заміна мереж  водопостачання, що забезпечить подачу питної води гарантованої якості;</w:t>
      </w:r>
    </w:p>
    <w:p w14:paraId="2EAB3CD0" w14:textId="77777777" w:rsidR="00266D66" w:rsidRPr="00266D66" w:rsidRDefault="00266D66" w:rsidP="00266D66">
      <w:pPr>
        <w:numPr>
          <w:ilvl w:val="0"/>
          <w:numId w:val="38"/>
        </w:numPr>
        <w:rPr>
          <w:lang w:val="uk-UA"/>
        </w:rPr>
      </w:pPr>
      <w:r w:rsidRPr="00266D66">
        <w:rPr>
          <w:lang w:val="uk-UA"/>
        </w:rPr>
        <w:t>посиленого контролю за якістю питної води;</w:t>
      </w:r>
    </w:p>
    <w:p w14:paraId="7A48CBDB" w14:textId="77777777" w:rsidR="00266D66" w:rsidRPr="00266D66" w:rsidRDefault="00266D66" w:rsidP="00266D66">
      <w:pPr>
        <w:numPr>
          <w:ilvl w:val="0"/>
          <w:numId w:val="38"/>
        </w:numPr>
        <w:rPr>
          <w:lang w:val="uk-UA"/>
        </w:rPr>
      </w:pPr>
      <w:r w:rsidRPr="00266D66">
        <w:rPr>
          <w:lang w:val="uk-UA"/>
        </w:rPr>
        <w:t>оновлення та модернізація систем водопостачання та водовідведення, підвищення ефективності та надійності їх функціонування;</w:t>
      </w:r>
    </w:p>
    <w:p w14:paraId="55C177A9" w14:textId="77777777" w:rsidR="00266D66" w:rsidRPr="00266D66" w:rsidRDefault="00266D66" w:rsidP="00266D66">
      <w:pPr>
        <w:numPr>
          <w:ilvl w:val="0"/>
          <w:numId w:val="38"/>
        </w:numPr>
        <w:rPr>
          <w:lang w:val="uk-UA"/>
        </w:rPr>
      </w:pPr>
      <w:r w:rsidRPr="00266D66">
        <w:rPr>
          <w:lang w:val="uk-UA"/>
        </w:rPr>
        <w:t>удосконалення систем транспортування питної води та стоків;</w:t>
      </w:r>
    </w:p>
    <w:p w14:paraId="7A1865D5" w14:textId="77777777" w:rsidR="00266D66" w:rsidRPr="00266D66" w:rsidRDefault="00266D66" w:rsidP="00266D66">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6"/>
          <w:lang w:val="uk-UA"/>
        </w:rPr>
      </w:pPr>
      <w:r w:rsidRPr="00266D66">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5079B9C" w14:textId="77777777" w:rsidR="00266D66" w:rsidRPr="00266D66" w:rsidRDefault="00266D66" w:rsidP="00266D6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EF5BB0">
        <w:rPr>
          <w:b/>
          <w:bCs/>
          <w:color w:val="000000"/>
          <w:lang w:val="uk-UA"/>
        </w:rPr>
        <w:t>Обґрунтування шляхів і засобів розв’язання проблеми, обсягів та джерел фінансування; строки та етапи виконання програми</w:t>
      </w:r>
    </w:p>
    <w:p w14:paraId="5FE973A1" w14:textId="77777777" w:rsidR="00266D66" w:rsidRPr="00266D66" w:rsidRDefault="00266D66" w:rsidP="00266D66">
      <w:pPr>
        <w:ind w:firstLine="708"/>
        <w:jc w:val="both"/>
        <w:rPr>
          <w:lang w:val="uk-UA"/>
        </w:rPr>
      </w:pPr>
      <w:r w:rsidRPr="00266D66">
        <w:rPr>
          <w:lang w:val="uk-UA"/>
        </w:rPr>
        <w:t>Виконання Програми здійснюється за такими основними напрямками:</w:t>
      </w:r>
    </w:p>
    <w:p w14:paraId="1A05DE07" w14:textId="77777777" w:rsidR="00266D66" w:rsidRPr="00266D66" w:rsidRDefault="00266D66" w:rsidP="00266D66">
      <w:pPr>
        <w:ind w:firstLine="709"/>
        <w:jc w:val="both"/>
        <w:rPr>
          <w:lang w:val="uk-UA"/>
        </w:rPr>
      </w:pPr>
      <w:r w:rsidRPr="00266D66">
        <w:rPr>
          <w:lang w:val="uk-UA"/>
        </w:rPr>
        <w:t>1. Забезпечення споживачів питною водою гарантованої якості.</w:t>
      </w:r>
    </w:p>
    <w:p w14:paraId="6E2373A7" w14:textId="77777777" w:rsidR="00266D66" w:rsidRPr="00266D66" w:rsidRDefault="00266D66" w:rsidP="00266D66">
      <w:pPr>
        <w:ind w:firstLine="709"/>
        <w:jc w:val="both"/>
        <w:rPr>
          <w:lang w:val="uk-UA"/>
        </w:rPr>
      </w:pPr>
      <w:r w:rsidRPr="00266D66">
        <w:rPr>
          <w:lang w:val="uk-UA"/>
        </w:rPr>
        <w:t>2. Економія води, зниження втрат та неврахованих витрат (заміна мереж водопостачання).</w:t>
      </w:r>
    </w:p>
    <w:p w14:paraId="6118C7F3" w14:textId="77777777" w:rsidR="00266D66" w:rsidRPr="00266D66" w:rsidRDefault="00266D66" w:rsidP="00266D66">
      <w:pPr>
        <w:ind w:firstLine="709"/>
        <w:jc w:val="both"/>
        <w:rPr>
          <w:lang w:val="uk-UA"/>
        </w:rPr>
      </w:pPr>
      <w:r w:rsidRPr="00266D66">
        <w:rPr>
          <w:lang w:val="uk-UA"/>
        </w:rPr>
        <w:t>3. Підвищення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14:paraId="0EBB9FE7" w14:textId="77777777" w:rsidR="00266D66" w:rsidRPr="00266D66" w:rsidRDefault="00266D66" w:rsidP="00266D66">
      <w:pPr>
        <w:ind w:firstLine="709"/>
        <w:jc w:val="both"/>
        <w:rPr>
          <w:lang w:val="uk-UA"/>
        </w:rPr>
      </w:pPr>
      <w:r w:rsidRPr="00266D66">
        <w:rPr>
          <w:lang w:val="uk-UA"/>
        </w:rPr>
        <w:t>4. Підвищення надійності роботи системи водопостачання та водовідведення.</w:t>
      </w:r>
    </w:p>
    <w:p w14:paraId="4EF2269A" w14:textId="77777777" w:rsidR="00266D66" w:rsidRPr="00266D66" w:rsidRDefault="00266D66" w:rsidP="00266D66">
      <w:pPr>
        <w:ind w:firstLine="709"/>
        <w:jc w:val="both"/>
        <w:rPr>
          <w:lang w:val="uk-UA"/>
        </w:rPr>
      </w:pPr>
      <w:r w:rsidRPr="00266D66">
        <w:rPr>
          <w:lang w:val="uk-UA"/>
        </w:rPr>
        <w:t xml:space="preserve">5. Підвищення рівня експлуатації систем водопостачання та водовідведення. </w:t>
      </w:r>
    </w:p>
    <w:p w14:paraId="3ABFB8F0"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lastRenderedPageBreak/>
        <w:t>6. Покращення санітарних умов проживання мешканців, підвищення соціальних стандартів життя громади, створення умов для належних санітарно-гігієнічних норм.</w:t>
      </w:r>
    </w:p>
    <w:p w14:paraId="6826A49B"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7. Поліпшення санітарно-епідеміологічного та екологічного стану</w:t>
      </w:r>
      <w:r w:rsidRPr="00266D66">
        <w:rPr>
          <w:bCs/>
          <w:lang w:val="uk-UA" w:eastAsia="ar-SA"/>
        </w:rPr>
        <w:t xml:space="preserve">, запобігання виникненню </w:t>
      </w:r>
      <w:r w:rsidRPr="00266D66">
        <w:rPr>
          <w:lang w:val="uk-UA" w:eastAsia="ar-SA"/>
        </w:rPr>
        <w:t>надзвичайних екологічних ситуацій.</w:t>
      </w:r>
    </w:p>
    <w:p w14:paraId="2D85AAD9"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8. Соціальна спрямованість проекту полягає у зростанні довіри до влади.</w:t>
      </w:r>
    </w:p>
    <w:p w14:paraId="7BF806D1"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9. Приведення відповідно до технічних умов ДСТУ накриття водопровідних та каналізаційних колодязів.</w:t>
      </w:r>
    </w:p>
    <w:p w14:paraId="752A84C5"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10. Зменшення можливості виникнення аварійних ситуацій.</w:t>
      </w:r>
    </w:p>
    <w:p w14:paraId="7B347BB7"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 xml:space="preserve">11. Збереження здоров'я населення. </w:t>
      </w:r>
    </w:p>
    <w:p w14:paraId="277B08F4"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12. Покращення ведення господарської діяльності комунальними підприємствами міста.</w:t>
      </w:r>
    </w:p>
    <w:p w14:paraId="36133AA7"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13. Підвищення рівня експлуатації комунальних систем.</w:t>
      </w:r>
    </w:p>
    <w:p w14:paraId="1ABDF37C" w14:textId="77777777" w:rsidR="00266D66" w:rsidRPr="00266D66" w:rsidRDefault="00266D66" w:rsidP="00266D66">
      <w:pPr>
        <w:jc w:val="both"/>
        <w:rPr>
          <w:b/>
          <w:u w:val="single"/>
          <w:lang w:val="uk-UA" w:eastAsia="uk-UA"/>
        </w:rPr>
      </w:pPr>
      <w:r w:rsidRPr="00266D66">
        <w:rPr>
          <w:b/>
          <w:u w:val="single"/>
          <w:lang w:val="uk-UA" w:eastAsia="uk-UA"/>
        </w:rPr>
        <w:t xml:space="preserve">4.1. </w:t>
      </w:r>
      <w:r w:rsidRPr="00266D66">
        <w:rPr>
          <w:b/>
          <w:u w:val="single"/>
          <w:lang w:val="uk-UA"/>
        </w:rPr>
        <w:t>Підвищення надійності роботи систем водопостачання та водовідведення</w:t>
      </w:r>
    </w:p>
    <w:p w14:paraId="04329539" w14:textId="77777777" w:rsidR="00266D66" w:rsidRPr="00266D66" w:rsidRDefault="00266D66" w:rsidP="00266D66">
      <w:pPr>
        <w:jc w:val="both"/>
        <w:rPr>
          <w:lang w:val="uk-UA" w:eastAsia="uk-UA"/>
        </w:rPr>
      </w:pPr>
      <w:r w:rsidRPr="00266D66">
        <w:rPr>
          <w:lang w:val="uk-UA" w:eastAsia="uk-UA"/>
        </w:rPr>
        <w:t>П</w:t>
      </w:r>
      <w:r w:rsidRPr="00266D66">
        <w:rPr>
          <w:rFonts w:eastAsia="Calibri"/>
          <w:lang w:val="uk-UA" w:eastAsia="uk-UA"/>
        </w:rPr>
        <w:t>риведення відповідно до технічних умов стану</w:t>
      </w:r>
      <w:r w:rsidRPr="00266D66">
        <w:rPr>
          <w:lang w:val="uk-UA"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 Ніжина.</w:t>
      </w:r>
    </w:p>
    <w:p w14:paraId="23934F86" w14:textId="77777777" w:rsidR="00266D66" w:rsidRPr="00266D66" w:rsidRDefault="00266D66" w:rsidP="00266D66">
      <w:pPr>
        <w:jc w:val="both"/>
        <w:rPr>
          <w:rFonts w:eastAsia="Calibri"/>
          <w:b/>
          <w:i/>
          <w:lang w:val="uk-UA" w:eastAsia="uk-UA"/>
        </w:rPr>
      </w:pPr>
      <w:r w:rsidRPr="00266D66">
        <w:rPr>
          <w:rFonts w:eastAsia="Calibri"/>
          <w:b/>
          <w:i/>
          <w:lang w:val="uk-UA" w:eastAsia="uk-UA"/>
        </w:rPr>
        <w:t>4.1.1. Приведення відповідно до технічних умов стану водопровідних та каналізаційних колодязів</w:t>
      </w:r>
    </w:p>
    <w:p w14:paraId="655E9AC6" w14:textId="77777777" w:rsidR="00266D66" w:rsidRPr="00266D66" w:rsidRDefault="00266D66" w:rsidP="00266D66">
      <w:pPr>
        <w:tabs>
          <w:tab w:val="num" w:pos="540"/>
        </w:tabs>
        <w:suppressAutoHyphens/>
        <w:ind w:left="720"/>
        <w:jc w:val="both"/>
        <w:rPr>
          <w:b/>
          <w:lang w:val="uk-UA"/>
        </w:rPr>
      </w:pPr>
      <w:r w:rsidRPr="00266D66">
        <w:rPr>
          <w:b/>
          <w:lang w:val="uk-UA"/>
        </w:rPr>
        <w:t>Обґрунтування необхідності придбання</w:t>
      </w:r>
    </w:p>
    <w:p w14:paraId="796488A0" w14:textId="77777777" w:rsidR="00266D66" w:rsidRPr="00266D66" w:rsidRDefault="00266D66" w:rsidP="00266D66">
      <w:pPr>
        <w:ind w:firstLine="993"/>
        <w:jc w:val="both"/>
        <w:rPr>
          <w:lang w:val="uk-UA"/>
        </w:rPr>
      </w:pPr>
      <w:r w:rsidRPr="00266D66">
        <w:rPr>
          <w:lang w:val="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w:t>
      </w:r>
      <w:proofErr w:type="spellStart"/>
      <w:r w:rsidRPr="00266D66">
        <w:rPr>
          <w:lang w:val="uk-UA"/>
        </w:rPr>
        <w:t>персоналомКП</w:t>
      </w:r>
      <w:proofErr w:type="spellEnd"/>
      <w:r w:rsidRPr="00266D66">
        <w:rPr>
          <w:lang w:val="uk-UA"/>
        </w:rPr>
        <w:t xml:space="preserve"> «НУВКГ» для повноцінного функціонування трубопроводів водопостачання та водовідведення. </w:t>
      </w:r>
    </w:p>
    <w:p w14:paraId="20DA5524" w14:textId="77777777" w:rsidR="00266D66" w:rsidRPr="00266D66" w:rsidRDefault="00266D66" w:rsidP="00266D66">
      <w:pPr>
        <w:ind w:firstLine="993"/>
        <w:jc w:val="both"/>
        <w:rPr>
          <w:lang w:val="uk-UA" w:eastAsia="uk-UA"/>
        </w:rPr>
      </w:pPr>
      <w:r w:rsidRPr="00266D66">
        <w:rPr>
          <w:lang w:val="uk-UA" w:eastAsia="uk-UA"/>
        </w:rPr>
        <w:t>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14:paraId="73011905" w14:textId="77777777" w:rsidR="00266D66" w:rsidRPr="00266D66" w:rsidRDefault="00266D66" w:rsidP="00266D66">
      <w:pPr>
        <w:ind w:firstLine="993"/>
        <w:jc w:val="both"/>
        <w:rPr>
          <w:rFonts w:eastAsia="Calibri"/>
          <w:lang w:val="uk-UA" w:eastAsia="en-US"/>
        </w:rPr>
      </w:pPr>
      <w:r w:rsidRPr="00266D66">
        <w:rPr>
          <w:rFonts w:eastAsia="Calibri"/>
          <w:lang w:val="uk-UA" w:eastAsia="en-US"/>
        </w:rPr>
        <w:t xml:space="preserve">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14:paraId="0C29D7F2" w14:textId="77777777" w:rsidR="00266D66" w:rsidRPr="00266D66" w:rsidRDefault="00266D66" w:rsidP="00266D66">
      <w:pPr>
        <w:ind w:firstLine="993"/>
        <w:jc w:val="both"/>
        <w:rPr>
          <w:rFonts w:eastAsia="Calibri"/>
          <w:lang w:val="uk-UA" w:eastAsia="en-US"/>
        </w:rPr>
      </w:pPr>
      <w:r w:rsidRPr="00266D66">
        <w:rPr>
          <w:rFonts w:eastAsia="Calibri"/>
          <w:lang w:val="uk-UA" w:eastAsia="en-US"/>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14:paraId="3C4E0D98" w14:textId="77777777" w:rsidR="00266D66" w:rsidRPr="00266D66" w:rsidRDefault="00266D66" w:rsidP="00266D66">
      <w:pPr>
        <w:ind w:firstLine="993"/>
        <w:jc w:val="both"/>
        <w:rPr>
          <w:rFonts w:eastAsia="Calibri"/>
          <w:lang w:val="uk-UA" w:eastAsia="en-US"/>
        </w:rPr>
      </w:pPr>
      <w:r w:rsidRPr="00266D66">
        <w:rPr>
          <w:rFonts w:eastAsia="Calibri"/>
          <w:lang w:val="uk-UA" w:eastAsia="en-US"/>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14:paraId="196C6048" w14:textId="77777777" w:rsidR="00266D66" w:rsidRPr="00266D66" w:rsidRDefault="00266D66" w:rsidP="00266D66">
      <w:pPr>
        <w:ind w:firstLine="851"/>
        <w:jc w:val="both"/>
        <w:rPr>
          <w:lang w:val="uk-UA"/>
        </w:rPr>
      </w:pPr>
      <w:r w:rsidRPr="00266D66">
        <w:rPr>
          <w:lang w:val="uk-UA"/>
        </w:rPr>
        <w:t xml:space="preserve">Існують різні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2,0т, середні – встановлюються на проїжджі частини вулиць житлової зони, автостоянки – номінальне навантаження 5,0-12,5т, важкі – встановлюються на загальноміських немагістральних автомобільних дорогах – номінальне навантаження 25,0т. </w:t>
      </w:r>
    </w:p>
    <w:p w14:paraId="6DB65862" w14:textId="77777777" w:rsidR="00266D66" w:rsidRPr="00266D66" w:rsidRDefault="00266D66" w:rsidP="00266D66">
      <w:pPr>
        <w:ind w:firstLine="567"/>
        <w:jc w:val="both"/>
        <w:rPr>
          <w:lang w:val="uk-UA"/>
        </w:rPr>
      </w:pPr>
      <w:r w:rsidRPr="00266D66">
        <w:rPr>
          <w:lang w:val="uk-UA"/>
        </w:rPr>
        <w:t xml:space="preserve">Для заміни планується використати різні види </w:t>
      </w:r>
      <w:proofErr w:type="spellStart"/>
      <w:r w:rsidRPr="00266D66">
        <w:rPr>
          <w:highlight w:val="yellow"/>
          <w:lang w:val="uk-UA"/>
        </w:rPr>
        <w:t>полімерпіщаних</w:t>
      </w:r>
      <w:proofErr w:type="spellEnd"/>
      <w:r w:rsidRPr="00266D66">
        <w:rPr>
          <w:lang w:val="uk-UA"/>
        </w:rPr>
        <w:t xml:space="preserve"> люків, які відповідають вимогам ДСТУ. Технологія установлення проводиться відповідно до норм </w:t>
      </w:r>
      <w:proofErr w:type="spellStart"/>
      <w:r w:rsidRPr="00266D66">
        <w:rPr>
          <w:lang w:val="uk-UA"/>
        </w:rPr>
        <w:t>ДБНіП</w:t>
      </w:r>
      <w:proofErr w:type="spellEnd"/>
      <w:r w:rsidRPr="00266D66">
        <w:rPr>
          <w:lang w:val="uk-UA"/>
        </w:rPr>
        <w:t xml:space="preserve"> власними силами та коштами КП «НУВКГ».</w:t>
      </w:r>
    </w:p>
    <w:p w14:paraId="0769AA94" w14:textId="77777777" w:rsidR="00266D66" w:rsidRPr="00266D66" w:rsidRDefault="00266D66" w:rsidP="00266D66">
      <w:pPr>
        <w:ind w:firstLine="567"/>
        <w:jc w:val="both"/>
        <w:rPr>
          <w:lang w:val="uk-UA"/>
        </w:rPr>
      </w:pPr>
      <w:r w:rsidRPr="00266D66">
        <w:rPr>
          <w:lang w:val="uk-UA" w:eastAsia="uk-UA"/>
        </w:rPr>
        <w:t>Підприємство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14:paraId="7BC1B6B8"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 xml:space="preserve">4.1.2.  Придбання залізобетонних конструкцій </w:t>
      </w:r>
    </w:p>
    <w:p w14:paraId="518BB192" w14:textId="77777777" w:rsidR="00266D66" w:rsidRPr="00266D66" w:rsidRDefault="00266D66" w:rsidP="00266D66">
      <w:pPr>
        <w:tabs>
          <w:tab w:val="num" w:pos="540"/>
        </w:tabs>
        <w:suppressAutoHyphens/>
        <w:ind w:left="720"/>
        <w:jc w:val="both"/>
        <w:rPr>
          <w:b/>
          <w:lang w:val="uk-UA"/>
        </w:rPr>
      </w:pPr>
      <w:r w:rsidRPr="00266D66">
        <w:rPr>
          <w:b/>
          <w:lang w:val="uk-UA"/>
        </w:rPr>
        <w:t>Обґрунтування необхідності придбання</w:t>
      </w:r>
    </w:p>
    <w:p w14:paraId="77280A46" w14:textId="77777777" w:rsidR="00266D66" w:rsidRPr="00266D66" w:rsidRDefault="00266D66" w:rsidP="00266D66">
      <w:pPr>
        <w:jc w:val="both"/>
        <w:rPr>
          <w:lang w:val="uk-UA"/>
        </w:rPr>
      </w:pPr>
      <w:r w:rsidRPr="00266D66">
        <w:rPr>
          <w:rFonts w:eastAsia="Calibri"/>
          <w:i/>
          <w:lang w:val="uk-UA" w:eastAsia="en-US"/>
        </w:rPr>
        <w:lastRenderedPageBreak/>
        <w:t>Для забезпечення своєчасного ремонту водопровідних та каналізаційних колодязів існує потреба придбання залізобетонних конструкцій.</w:t>
      </w:r>
    </w:p>
    <w:p w14:paraId="561F1045" w14:textId="77777777" w:rsidR="00266D66" w:rsidRPr="00266D66" w:rsidRDefault="00266D66" w:rsidP="00266D66">
      <w:pPr>
        <w:ind w:firstLine="567"/>
        <w:jc w:val="both"/>
        <w:rPr>
          <w:lang w:val="uk-UA"/>
        </w:rPr>
      </w:pPr>
      <w:r w:rsidRPr="00266D66">
        <w:rPr>
          <w:lang w:val="uk-UA"/>
        </w:rPr>
        <w:t xml:space="preserve">Технологія установлення залізобетонних конструкцій проводиться відповідно до норм </w:t>
      </w:r>
      <w:proofErr w:type="spellStart"/>
      <w:r w:rsidRPr="00266D66">
        <w:rPr>
          <w:lang w:val="uk-UA"/>
        </w:rPr>
        <w:t>ДБНіП</w:t>
      </w:r>
      <w:proofErr w:type="spellEnd"/>
      <w:r w:rsidRPr="00266D66">
        <w:rPr>
          <w:lang w:val="uk-UA"/>
        </w:rPr>
        <w:t xml:space="preserve"> власними силами та коштами КП «НУВКГ».</w:t>
      </w:r>
    </w:p>
    <w:p w14:paraId="00C01630"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4.1.3.  Придбання запірної арматури</w:t>
      </w:r>
    </w:p>
    <w:p w14:paraId="641FF139" w14:textId="77777777" w:rsidR="00266D66" w:rsidRPr="00266D66" w:rsidRDefault="00266D66" w:rsidP="00266D66">
      <w:pPr>
        <w:tabs>
          <w:tab w:val="num" w:pos="540"/>
        </w:tabs>
        <w:suppressAutoHyphens/>
        <w:ind w:left="720"/>
        <w:jc w:val="both"/>
        <w:rPr>
          <w:b/>
          <w:lang w:val="uk-UA"/>
        </w:rPr>
      </w:pPr>
      <w:r w:rsidRPr="00266D66">
        <w:rPr>
          <w:b/>
          <w:lang w:val="uk-UA"/>
        </w:rPr>
        <w:t>Обґрунтування необхідності придбання</w:t>
      </w:r>
    </w:p>
    <w:p w14:paraId="387603FB" w14:textId="77777777" w:rsidR="00266D66" w:rsidRPr="00266D66" w:rsidRDefault="00266D66" w:rsidP="00266D66">
      <w:pPr>
        <w:jc w:val="both"/>
        <w:rPr>
          <w:rFonts w:eastAsia="Calibri"/>
          <w:i/>
          <w:lang w:val="uk-UA" w:eastAsia="en-US"/>
        </w:rPr>
      </w:pPr>
      <w:r w:rsidRPr="00266D66">
        <w:rPr>
          <w:rFonts w:eastAsia="Calibri"/>
          <w:i/>
          <w:lang w:val="uk-UA" w:eastAsia="en-US"/>
        </w:rPr>
        <w:t>Для забезпечення сталої роботи інженерних мереж централізованого водопостачання та водовідведення, зменшення не облікованих втрат та витрат, забезпечення стабільно надання послуг існує нагальна потреба своєчасної заміни запірної арматури.</w:t>
      </w:r>
    </w:p>
    <w:p w14:paraId="2283852F" w14:textId="77777777" w:rsidR="00266D66" w:rsidRPr="00266D66" w:rsidRDefault="00266D66" w:rsidP="00266D66">
      <w:pPr>
        <w:ind w:firstLine="567"/>
        <w:jc w:val="both"/>
        <w:rPr>
          <w:lang w:val="uk-UA"/>
        </w:rPr>
      </w:pPr>
      <w:r w:rsidRPr="00266D66">
        <w:rPr>
          <w:lang w:val="uk-UA"/>
        </w:rPr>
        <w:t xml:space="preserve">Для заміни планується використати різні типи засувок, адаптерів та клапанів запірних, які відповідають вимогам ДСТУ. Технологія установлення проводиться відповідно до норм </w:t>
      </w:r>
      <w:proofErr w:type="spellStart"/>
      <w:r w:rsidRPr="00266D66">
        <w:rPr>
          <w:lang w:val="uk-UA"/>
        </w:rPr>
        <w:t>ДБНіП</w:t>
      </w:r>
      <w:proofErr w:type="spellEnd"/>
      <w:r w:rsidRPr="00266D66">
        <w:rPr>
          <w:lang w:val="uk-UA"/>
        </w:rPr>
        <w:t xml:space="preserve"> власними силами та коштами КП «НУВКГ».</w:t>
      </w:r>
    </w:p>
    <w:p w14:paraId="2A991D1D" w14:textId="77777777" w:rsidR="00266D66" w:rsidRPr="00EF5BB0" w:rsidRDefault="00266D66" w:rsidP="00266D66">
      <w:pPr>
        <w:numPr>
          <w:ilvl w:val="0"/>
          <w:numId w:val="36"/>
        </w:numPr>
        <w:contextualSpacing/>
        <w:rPr>
          <w:b/>
          <w:bCs/>
          <w:color w:val="000000"/>
          <w:lang w:val="uk-UA"/>
        </w:rPr>
      </w:pPr>
      <w:r w:rsidRPr="00EF5BB0">
        <w:rPr>
          <w:b/>
          <w:bCs/>
          <w:color w:val="000000"/>
          <w:lang w:val="uk-UA"/>
        </w:rPr>
        <w:t>Напрями діяльності, перелік завдань і заходів програми та результативні показники</w:t>
      </w:r>
    </w:p>
    <w:p w14:paraId="4EFEAE7C" w14:textId="77777777" w:rsidR="00266D66" w:rsidRPr="00266D66" w:rsidRDefault="00266D66" w:rsidP="00266D66">
      <w:pPr>
        <w:ind w:right="-1"/>
        <w:jc w:val="both"/>
        <w:rPr>
          <w:b/>
          <w:sz w:val="26"/>
          <w:szCs w:val="26"/>
          <w:shd w:val="clear" w:color="auto" w:fill="FFFFFF"/>
          <w:lang w:val="uk-UA"/>
        </w:rPr>
      </w:pPr>
      <w:r w:rsidRPr="00266D66">
        <w:rPr>
          <w:b/>
          <w:sz w:val="26"/>
          <w:szCs w:val="26"/>
          <w:shd w:val="clear" w:color="auto" w:fill="FFFFFF"/>
          <w:lang w:val="uk-UA"/>
        </w:rPr>
        <w:t>МЦП розвитку КП «НУВКГ»</w:t>
      </w:r>
    </w:p>
    <w:tbl>
      <w:tblPr>
        <w:tblStyle w:val="12"/>
        <w:tblW w:w="9571" w:type="dxa"/>
        <w:jc w:val="center"/>
        <w:tblLook w:val="04A0" w:firstRow="1" w:lastRow="0" w:firstColumn="1" w:lastColumn="0" w:noHBand="0" w:noVBand="1"/>
      </w:tblPr>
      <w:tblGrid>
        <w:gridCol w:w="530"/>
        <w:gridCol w:w="2939"/>
        <w:gridCol w:w="684"/>
        <w:gridCol w:w="1716"/>
        <w:gridCol w:w="1731"/>
        <w:gridCol w:w="1971"/>
      </w:tblGrid>
      <w:tr w:rsidR="00266D66" w:rsidRPr="00266D66" w14:paraId="31570BCA" w14:textId="77777777" w:rsidTr="005E6DDD">
        <w:trPr>
          <w:jc w:val="center"/>
        </w:trPr>
        <w:tc>
          <w:tcPr>
            <w:tcW w:w="530" w:type="dxa"/>
            <w:vAlign w:val="center"/>
          </w:tcPr>
          <w:p w14:paraId="1B78B9CB"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 з/п</w:t>
            </w:r>
          </w:p>
        </w:tc>
        <w:tc>
          <w:tcPr>
            <w:tcW w:w="2939" w:type="dxa"/>
            <w:vAlign w:val="center"/>
          </w:tcPr>
          <w:p w14:paraId="017C660F"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Перелік заходів Програми</w:t>
            </w:r>
          </w:p>
        </w:tc>
        <w:tc>
          <w:tcPr>
            <w:tcW w:w="684" w:type="dxa"/>
            <w:vAlign w:val="center"/>
          </w:tcPr>
          <w:p w14:paraId="1C64019A"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К-сть</w:t>
            </w:r>
          </w:p>
        </w:tc>
        <w:tc>
          <w:tcPr>
            <w:tcW w:w="1716" w:type="dxa"/>
            <w:vAlign w:val="center"/>
          </w:tcPr>
          <w:p w14:paraId="439E349B"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Вартість, грн.</w:t>
            </w:r>
          </w:p>
        </w:tc>
        <w:tc>
          <w:tcPr>
            <w:tcW w:w="1731" w:type="dxa"/>
            <w:vAlign w:val="center"/>
          </w:tcPr>
          <w:p w14:paraId="2755047A"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Шляхи фінансування</w:t>
            </w:r>
          </w:p>
        </w:tc>
        <w:tc>
          <w:tcPr>
            <w:tcW w:w="1971" w:type="dxa"/>
            <w:vAlign w:val="center"/>
          </w:tcPr>
          <w:p w14:paraId="0399762B"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Відповідальний виконавець</w:t>
            </w:r>
          </w:p>
        </w:tc>
      </w:tr>
      <w:tr w:rsidR="00266D66" w:rsidRPr="00266D66" w14:paraId="574357E8" w14:textId="77777777" w:rsidTr="005E6DDD">
        <w:trPr>
          <w:jc w:val="center"/>
        </w:trPr>
        <w:tc>
          <w:tcPr>
            <w:tcW w:w="530" w:type="dxa"/>
          </w:tcPr>
          <w:p w14:paraId="736C18C0"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1.</w:t>
            </w:r>
          </w:p>
        </w:tc>
        <w:tc>
          <w:tcPr>
            <w:tcW w:w="2939" w:type="dxa"/>
          </w:tcPr>
          <w:p w14:paraId="14FE6BD3" w14:textId="77777777" w:rsidR="00266D66" w:rsidRPr="00266D66" w:rsidRDefault="00266D66" w:rsidP="00266D66">
            <w:pPr>
              <w:ind w:right="-1"/>
              <w:jc w:val="both"/>
              <w:rPr>
                <w:sz w:val="26"/>
                <w:szCs w:val="26"/>
                <w:shd w:val="clear" w:color="auto" w:fill="FFFFFF"/>
                <w:lang w:val="uk-UA"/>
              </w:rPr>
            </w:pPr>
            <w:r w:rsidRPr="00266D66">
              <w:rPr>
                <w:sz w:val="26"/>
                <w:szCs w:val="26"/>
                <w:shd w:val="clear" w:color="auto" w:fill="FFFFFF"/>
                <w:lang w:val="uk-UA"/>
              </w:rPr>
              <w:t>Придбання люків</w:t>
            </w:r>
          </w:p>
        </w:tc>
        <w:tc>
          <w:tcPr>
            <w:tcW w:w="684" w:type="dxa"/>
            <w:vAlign w:val="center"/>
          </w:tcPr>
          <w:p w14:paraId="7F7B2AAE"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82</w:t>
            </w:r>
          </w:p>
        </w:tc>
        <w:tc>
          <w:tcPr>
            <w:tcW w:w="1716" w:type="dxa"/>
            <w:vAlign w:val="center"/>
          </w:tcPr>
          <w:p w14:paraId="33215BC9"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90 600,0</w:t>
            </w:r>
          </w:p>
        </w:tc>
        <w:tc>
          <w:tcPr>
            <w:tcW w:w="1731" w:type="dxa"/>
            <w:vMerge w:val="restart"/>
            <w:vAlign w:val="center"/>
          </w:tcPr>
          <w:p w14:paraId="21CAEA30"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Бюджет Ніжинської міської ТГ</w:t>
            </w:r>
          </w:p>
        </w:tc>
        <w:tc>
          <w:tcPr>
            <w:tcW w:w="1971" w:type="dxa"/>
            <w:vMerge w:val="restart"/>
            <w:vAlign w:val="center"/>
          </w:tcPr>
          <w:p w14:paraId="008707D0"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Відбір виконавців заходів</w:t>
            </w:r>
          </w:p>
        </w:tc>
      </w:tr>
      <w:tr w:rsidR="00266D66" w:rsidRPr="00266D66" w14:paraId="1C0A4F4E" w14:textId="77777777" w:rsidTr="005E6DDD">
        <w:trPr>
          <w:jc w:val="center"/>
        </w:trPr>
        <w:tc>
          <w:tcPr>
            <w:tcW w:w="530" w:type="dxa"/>
          </w:tcPr>
          <w:p w14:paraId="4D90329A"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2.</w:t>
            </w:r>
          </w:p>
        </w:tc>
        <w:tc>
          <w:tcPr>
            <w:tcW w:w="2939" w:type="dxa"/>
          </w:tcPr>
          <w:p w14:paraId="2FF222A6" w14:textId="77777777" w:rsidR="00266D66" w:rsidRPr="00266D66" w:rsidRDefault="00266D66" w:rsidP="00266D66">
            <w:pPr>
              <w:ind w:right="-1"/>
              <w:jc w:val="both"/>
              <w:rPr>
                <w:sz w:val="26"/>
                <w:szCs w:val="26"/>
                <w:shd w:val="clear" w:color="auto" w:fill="FFFFFF"/>
                <w:lang w:val="uk-UA"/>
              </w:rPr>
            </w:pPr>
            <w:r w:rsidRPr="00266D66">
              <w:rPr>
                <w:sz w:val="26"/>
                <w:szCs w:val="26"/>
                <w:shd w:val="clear" w:color="auto" w:fill="FFFFFF"/>
                <w:lang w:val="uk-UA"/>
              </w:rPr>
              <w:t>Придбання залізобетонних конструкцій</w:t>
            </w:r>
          </w:p>
        </w:tc>
        <w:tc>
          <w:tcPr>
            <w:tcW w:w="684" w:type="dxa"/>
            <w:vAlign w:val="center"/>
          </w:tcPr>
          <w:p w14:paraId="772818F0"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40</w:t>
            </w:r>
          </w:p>
        </w:tc>
        <w:tc>
          <w:tcPr>
            <w:tcW w:w="1716" w:type="dxa"/>
            <w:vAlign w:val="center"/>
          </w:tcPr>
          <w:p w14:paraId="585198D6"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63 700,0</w:t>
            </w:r>
          </w:p>
        </w:tc>
        <w:tc>
          <w:tcPr>
            <w:tcW w:w="1731" w:type="dxa"/>
            <w:vMerge/>
          </w:tcPr>
          <w:p w14:paraId="4D612814" w14:textId="77777777" w:rsidR="00266D66" w:rsidRPr="00266D66" w:rsidRDefault="00266D66" w:rsidP="00266D66">
            <w:pPr>
              <w:ind w:right="-1"/>
              <w:jc w:val="center"/>
              <w:rPr>
                <w:sz w:val="26"/>
                <w:szCs w:val="26"/>
                <w:shd w:val="clear" w:color="auto" w:fill="FFFFFF"/>
                <w:lang w:val="uk-UA"/>
              </w:rPr>
            </w:pPr>
          </w:p>
        </w:tc>
        <w:tc>
          <w:tcPr>
            <w:tcW w:w="1971" w:type="dxa"/>
            <w:vMerge/>
          </w:tcPr>
          <w:p w14:paraId="234B550B" w14:textId="77777777" w:rsidR="00266D66" w:rsidRPr="00266D66" w:rsidRDefault="00266D66" w:rsidP="00266D66">
            <w:pPr>
              <w:ind w:right="-1"/>
              <w:jc w:val="center"/>
              <w:rPr>
                <w:sz w:val="26"/>
                <w:szCs w:val="26"/>
                <w:shd w:val="clear" w:color="auto" w:fill="FFFFFF"/>
                <w:lang w:val="uk-UA"/>
              </w:rPr>
            </w:pPr>
          </w:p>
        </w:tc>
      </w:tr>
      <w:tr w:rsidR="00266D66" w:rsidRPr="00266D66" w14:paraId="6F581907" w14:textId="77777777" w:rsidTr="005E6DDD">
        <w:trPr>
          <w:jc w:val="center"/>
        </w:trPr>
        <w:tc>
          <w:tcPr>
            <w:tcW w:w="530" w:type="dxa"/>
          </w:tcPr>
          <w:p w14:paraId="529121AD"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3.</w:t>
            </w:r>
          </w:p>
        </w:tc>
        <w:tc>
          <w:tcPr>
            <w:tcW w:w="2939" w:type="dxa"/>
          </w:tcPr>
          <w:p w14:paraId="24C5C87C" w14:textId="77777777" w:rsidR="00266D66" w:rsidRPr="00266D66" w:rsidRDefault="00266D66" w:rsidP="00266D66">
            <w:pPr>
              <w:ind w:right="-1"/>
              <w:jc w:val="both"/>
              <w:rPr>
                <w:sz w:val="26"/>
                <w:szCs w:val="26"/>
                <w:shd w:val="clear" w:color="auto" w:fill="FFFFFF"/>
                <w:lang w:val="uk-UA"/>
              </w:rPr>
            </w:pPr>
            <w:r w:rsidRPr="00266D66">
              <w:rPr>
                <w:sz w:val="26"/>
                <w:szCs w:val="26"/>
                <w:shd w:val="clear" w:color="auto" w:fill="FFFFFF"/>
                <w:lang w:val="uk-UA"/>
              </w:rPr>
              <w:t xml:space="preserve">Придбання запірно-регулюючої арматури </w:t>
            </w:r>
          </w:p>
        </w:tc>
        <w:tc>
          <w:tcPr>
            <w:tcW w:w="684" w:type="dxa"/>
            <w:vAlign w:val="center"/>
          </w:tcPr>
          <w:p w14:paraId="52A90055" w14:textId="77777777" w:rsidR="00266D66" w:rsidRPr="00266D66" w:rsidRDefault="00266D66" w:rsidP="00266D66">
            <w:pPr>
              <w:ind w:right="-1"/>
              <w:jc w:val="center"/>
              <w:rPr>
                <w:sz w:val="26"/>
                <w:szCs w:val="26"/>
                <w:highlight w:val="yellow"/>
                <w:shd w:val="clear" w:color="auto" w:fill="FFFFFF"/>
                <w:lang w:val="uk-UA"/>
              </w:rPr>
            </w:pPr>
            <w:r w:rsidRPr="00266D66">
              <w:rPr>
                <w:sz w:val="26"/>
                <w:szCs w:val="26"/>
                <w:highlight w:val="yellow"/>
                <w:shd w:val="clear" w:color="auto" w:fill="FFFFFF"/>
                <w:lang w:val="uk-UA"/>
              </w:rPr>
              <w:t>79</w:t>
            </w:r>
          </w:p>
        </w:tc>
        <w:tc>
          <w:tcPr>
            <w:tcW w:w="1716" w:type="dxa"/>
            <w:vAlign w:val="center"/>
          </w:tcPr>
          <w:p w14:paraId="387E9B11" w14:textId="77777777" w:rsidR="00266D66" w:rsidRPr="00266D66" w:rsidRDefault="00266D66" w:rsidP="00266D66">
            <w:pPr>
              <w:ind w:right="-1"/>
              <w:jc w:val="center"/>
              <w:rPr>
                <w:sz w:val="26"/>
                <w:szCs w:val="26"/>
                <w:highlight w:val="yellow"/>
                <w:shd w:val="clear" w:color="auto" w:fill="FFFFFF"/>
                <w:lang w:val="uk-UA"/>
              </w:rPr>
            </w:pPr>
            <w:r w:rsidRPr="00266D66">
              <w:rPr>
                <w:sz w:val="26"/>
                <w:szCs w:val="26"/>
                <w:highlight w:val="yellow"/>
                <w:shd w:val="clear" w:color="auto" w:fill="FFFFFF"/>
                <w:lang w:val="uk-UA"/>
              </w:rPr>
              <w:t>450 700,0</w:t>
            </w:r>
          </w:p>
        </w:tc>
        <w:tc>
          <w:tcPr>
            <w:tcW w:w="1731" w:type="dxa"/>
            <w:vMerge/>
          </w:tcPr>
          <w:p w14:paraId="6C0F9B03" w14:textId="77777777" w:rsidR="00266D66" w:rsidRPr="00266D66" w:rsidRDefault="00266D66" w:rsidP="00266D66">
            <w:pPr>
              <w:ind w:right="-1"/>
              <w:jc w:val="center"/>
              <w:rPr>
                <w:sz w:val="26"/>
                <w:szCs w:val="26"/>
                <w:shd w:val="clear" w:color="auto" w:fill="FFFFFF"/>
                <w:lang w:val="uk-UA"/>
              </w:rPr>
            </w:pPr>
          </w:p>
        </w:tc>
        <w:tc>
          <w:tcPr>
            <w:tcW w:w="1971" w:type="dxa"/>
            <w:vMerge/>
          </w:tcPr>
          <w:p w14:paraId="2DBAB901" w14:textId="77777777" w:rsidR="00266D66" w:rsidRPr="00266D66" w:rsidRDefault="00266D66" w:rsidP="00266D66">
            <w:pPr>
              <w:ind w:right="-1"/>
              <w:jc w:val="center"/>
              <w:rPr>
                <w:sz w:val="26"/>
                <w:szCs w:val="26"/>
                <w:shd w:val="clear" w:color="auto" w:fill="FFFFFF"/>
                <w:lang w:val="uk-UA"/>
              </w:rPr>
            </w:pPr>
          </w:p>
        </w:tc>
      </w:tr>
      <w:tr w:rsidR="00266D66" w:rsidRPr="00266D66" w14:paraId="745E2165" w14:textId="77777777" w:rsidTr="005E6DDD">
        <w:trPr>
          <w:jc w:val="center"/>
        </w:trPr>
        <w:tc>
          <w:tcPr>
            <w:tcW w:w="530" w:type="dxa"/>
          </w:tcPr>
          <w:p w14:paraId="21C50E31" w14:textId="77777777" w:rsidR="00266D66" w:rsidRPr="00266D66" w:rsidRDefault="00266D66" w:rsidP="00266D66">
            <w:pPr>
              <w:ind w:right="-1"/>
              <w:jc w:val="center"/>
              <w:rPr>
                <w:sz w:val="26"/>
                <w:szCs w:val="26"/>
                <w:shd w:val="clear" w:color="auto" w:fill="FFFFFF"/>
                <w:lang w:val="uk-UA"/>
              </w:rPr>
            </w:pPr>
          </w:p>
        </w:tc>
        <w:tc>
          <w:tcPr>
            <w:tcW w:w="2939" w:type="dxa"/>
          </w:tcPr>
          <w:p w14:paraId="1FBE2FF7" w14:textId="77777777" w:rsidR="00266D66" w:rsidRPr="00266D66" w:rsidRDefault="00266D66" w:rsidP="00266D66">
            <w:pPr>
              <w:ind w:right="-1"/>
              <w:jc w:val="both"/>
              <w:rPr>
                <w:sz w:val="26"/>
                <w:szCs w:val="26"/>
                <w:shd w:val="clear" w:color="auto" w:fill="FFFFFF"/>
                <w:lang w:val="uk-UA"/>
              </w:rPr>
            </w:pPr>
          </w:p>
        </w:tc>
        <w:tc>
          <w:tcPr>
            <w:tcW w:w="684" w:type="dxa"/>
            <w:vAlign w:val="center"/>
          </w:tcPr>
          <w:p w14:paraId="5E42D91E" w14:textId="77777777" w:rsidR="00266D66" w:rsidRPr="00266D66" w:rsidRDefault="00266D66" w:rsidP="00266D66">
            <w:pPr>
              <w:ind w:right="-1"/>
              <w:jc w:val="center"/>
              <w:rPr>
                <w:sz w:val="26"/>
                <w:szCs w:val="26"/>
                <w:shd w:val="clear" w:color="auto" w:fill="FFFFFF"/>
                <w:lang w:val="uk-UA"/>
              </w:rPr>
            </w:pPr>
          </w:p>
        </w:tc>
        <w:tc>
          <w:tcPr>
            <w:tcW w:w="1716" w:type="dxa"/>
            <w:vAlign w:val="center"/>
          </w:tcPr>
          <w:p w14:paraId="45902B31" w14:textId="77777777" w:rsidR="00266D66" w:rsidRPr="00266D66" w:rsidRDefault="00266D66" w:rsidP="00266D66">
            <w:pPr>
              <w:ind w:right="-1"/>
              <w:jc w:val="center"/>
              <w:rPr>
                <w:sz w:val="26"/>
                <w:szCs w:val="26"/>
                <w:shd w:val="clear" w:color="auto" w:fill="FFFFFF"/>
                <w:lang w:val="uk-UA"/>
              </w:rPr>
            </w:pPr>
          </w:p>
        </w:tc>
        <w:tc>
          <w:tcPr>
            <w:tcW w:w="1731" w:type="dxa"/>
            <w:vMerge/>
          </w:tcPr>
          <w:p w14:paraId="46D5C1BB" w14:textId="77777777" w:rsidR="00266D66" w:rsidRPr="00266D66" w:rsidRDefault="00266D66" w:rsidP="00266D66">
            <w:pPr>
              <w:ind w:right="-1"/>
              <w:jc w:val="center"/>
              <w:rPr>
                <w:sz w:val="26"/>
                <w:szCs w:val="26"/>
                <w:shd w:val="clear" w:color="auto" w:fill="FFFFFF"/>
                <w:lang w:val="uk-UA"/>
              </w:rPr>
            </w:pPr>
          </w:p>
        </w:tc>
        <w:tc>
          <w:tcPr>
            <w:tcW w:w="1971" w:type="dxa"/>
            <w:vMerge/>
          </w:tcPr>
          <w:p w14:paraId="1175EEFD" w14:textId="77777777" w:rsidR="00266D66" w:rsidRPr="00266D66" w:rsidRDefault="00266D66" w:rsidP="00266D66">
            <w:pPr>
              <w:ind w:right="-1"/>
              <w:jc w:val="center"/>
              <w:rPr>
                <w:sz w:val="26"/>
                <w:szCs w:val="26"/>
                <w:shd w:val="clear" w:color="auto" w:fill="FFFFFF"/>
                <w:lang w:val="uk-UA"/>
              </w:rPr>
            </w:pPr>
          </w:p>
        </w:tc>
      </w:tr>
    </w:tbl>
    <w:p w14:paraId="5A341674" w14:textId="77777777" w:rsidR="00266D66" w:rsidRPr="00266D66" w:rsidRDefault="00266D66" w:rsidP="00266D66">
      <w:pPr>
        <w:ind w:firstLine="709"/>
        <w:rPr>
          <w:rFonts w:eastAsia="Calibri"/>
          <w:b/>
          <w:i/>
          <w:lang w:val="uk-UA"/>
        </w:rPr>
      </w:pPr>
    </w:p>
    <w:p w14:paraId="1B4E363C" w14:textId="77777777" w:rsidR="00266D66" w:rsidRPr="00266D66" w:rsidRDefault="00266D66" w:rsidP="00266D66">
      <w:pPr>
        <w:ind w:firstLine="709"/>
        <w:rPr>
          <w:rFonts w:eastAsia="Calibri"/>
          <w:b/>
          <w:i/>
          <w:lang w:val="uk-UA"/>
        </w:rPr>
      </w:pPr>
      <w:r w:rsidRPr="00266D66">
        <w:rPr>
          <w:rFonts w:eastAsia="Calibri"/>
          <w:b/>
          <w:i/>
          <w:lang w:val="uk-UA"/>
        </w:rPr>
        <w:t>Очікувані (прогнозні) показники ефективності реалізації заходів</w:t>
      </w:r>
    </w:p>
    <w:p w14:paraId="22836A53" w14:textId="77777777" w:rsidR="00266D66" w:rsidRPr="00266D66" w:rsidRDefault="00266D66" w:rsidP="00266D66">
      <w:pPr>
        <w:ind w:firstLine="709"/>
        <w:rPr>
          <w:rFonts w:eastAsia="Calibri"/>
          <w:b/>
          <w:i/>
          <w:lang w:val="uk-UA" w:eastAsia="uk-UA"/>
        </w:rPr>
      </w:pPr>
      <w:r w:rsidRPr="00266D66">
        <w:rPr>
          <w:rFonts w:eastAsia="Calibri"/>
          <w:b/>
          <w:i/>
          <w:lang w:val="uk-UA" w:eastAsia="uk-UA"/>
        </w:rPr>
        <w:t>5.1.1. Приведення відповідно до технічних умов стану водопровідних та каналізаційних колодязів</w:t>
      </w:r>
    </w:p>
    <w:p w14:paraId="2692B36B" w14:textId="77777777" w:rsidR="00266D66" w:rsidRPr="00266D66" w:rsidRDefault="00266D66" w:rsidP="00266D66">
      <w:pPr>
        <w:ind w:firstLine="709"/>
        <w:rPr>
          <w:rFonts w:eastAsia="Calibri"/>
          <w:b/>
          <w:i/>
          <w:lang w:val="uk-UA"/>
        </w:rPr>
      </w:pPr>
      <w:r w:rsidRPr="00266D66">
        <w:rPr>
          <w:rFonts w:eastAsia="Calibri"/>
          <w:b/>
          <w:i/>
          <w:lang w:val="uk-UA"/>
        </w:rPr>
        <w:t xml:space="preserve">Очікувані (прогнозні) показники ефективності реалізації заходу </w:t>
      </w:r>
    </w:p>
    <w:p w14:paraId="64F9CB5D" w14:textId="77777777" w:rsidR="00266D66" w:rsidRPr="00266D66" w:rsidRDefault="00266D66" w:rsidP="00266D66">
      <w:pPr>
        <w:ind w:firstLine="567"/>
        <w:jc w:val="both"/>
        <w:rPr>
          <w:lang w:val="uk-UA"/>
        </w:rPr>
      </w:pPr>
      <w:r w:rsidRPr="00266D66">
        <w:rPr>
          <w:lang w:val="uk-UA"/>
        </w:rPr>
        <w:t xml:space="preserve">Виконання заходу забезпечить дотримання вимог «Правил технічної експлуатації систем водопостачання та водовідведення населених пунктів України», дозволить створити умови для забезпечення безпеки населення м. Ніжина, знизить ймовірність травмування та виникнення аварійних ситуацій, підвищить надійність функціонування систем водопостачання і водовідведення, забезпечить безпечність об'єктів, збереження їх цілісності та полегшить доступ до систем водопостачання та водовідведення. </w:t>
      </w:r>
    </w:p>
    <w:p w14:paraId="5DFB912A"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затрат:</w:t>
      </w:r>
    </w:p>
    <w:p w14:paraId="16FCE50E" w14:textId="77777777" w:rsidR="00266D66" w:rsidRPr="00266D66" w:rsidRDefault="00266D66" w:rsidP="00266D66">
      <w:pPr>
        <w:ind w:left="993"/>
        <w:rPr>
          <w:rFonts w:eastAsia="Calibri"/>
          <w:sz w:val="26"/>
          <w:szCs w:val="26"/>
          <w:lang w:val="uk-UA" w:eastAsia="en-US"/>
        </w:rPr>
      </w:pPr>
      <w:r w:rsidRPr="00266D66">
        <w:rPr>
          <w:rFonts w:eastAsia="Calibri"/>
          <w:sz w:val="26"/>
          <w:szCs w:val="26"/>
          <w:lang w:val="uk-UA" w:eastAsia="en-US"/>
        </w:rPr>
        <w:t>кількість колодязів, які потребують установлення накриття належного типу – 274 шт.</w:t>
      </w:r>
    </w:p>
    <w:p w14:paraId="7EEC1A08"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продукту:</w:t>
      </w:r>
    </w:p>
    <w:p w14:paraId="42AF9DD7" w14:textId="77777777" w:rsidR="00266D66" w:rsidRPr="00266D66" w:rsidRDefault="00266D66" w:rsidP="00266D66">
      <w:pPr>
        <w:ind w:left="993"/>
        <w:rPr>
          <w:rFonts w:eastAsia="Calibri"/>
          <w:sz w:val="26"/>
          <w:szCs w:val="26"/>
          <w:lang w:val="uk-UA" w:eastAsia="en-US"/>
        </w:rPr>
      </w:pPr>
      <w:r w:rsidRPr="00266D66">
        <w:rPr>
          <w:rFonts w:eastAsia="Calibri"/>
          <w:sz w:val="26"/>
          <w:szCs w:val="26"/>
          <w:lang w:val="uk-UA" w:eastAsia="en-US"/>
        </w:rPr>
        <w:t xml:space="preserve">кількість колодязів, на яких планується установлення накриття належного типу (відповідно до програми) – </w:t>
      </w:r>
      <w:r w:rsidRPr="00266D66">
        <w:rPr>
          <w:rFonts w:eastAsia="Calibri"/>
          <w:sz w:val="26"/>
          <w:szCs w:val="26"/>
          <w:highlight w:val="yellow"/>
          <w:lang w:val="uk-UA" w:eastAsia="en-US"/>
        </w:rPr>
        <w:t>82</w:t>
      </w:r>
      <w:r w:rsidRPr="00266D66">
        <w:rPr>
          <w:rFonts w:eastAsia="Calibri"/>
          <w:sz w:val="26"/>
          <w:szCs w:val="26"/>
          <w:lang w:val="uk-UA" w:eastAsia="en-US"/>
        </w:rPr>
        <w:t>шт.</w:t>
      </w:r>
    </w:p>
    <w:p w14:paraId="66472189"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ефективності:</w:t>
      </w:r>
    </w:p>
    <w:p w14:paraId="51DE7C34" w14:textId="77777777" w:rsidR="00266D66" w:rsidRPr="00266D66" w:rsidRDefault="00266D66" w:rsidP="00266D66">
      <w:pPr>
        <w:ind w:left="993"/>
        <w:rPr>
          <w:rFonts w:eastAsia="Calibri"/>
          <w:sz w:val="26"/>
          <w:szCs w:val="26"/>
          <w:lang w:val="uk-UA" w:eastAsia="en-US"/>
        </w:rPr>
      </w:pPr>
      <w:r w:rsidRPr="00266D66">
        <w:rPr>
          <w:rFonts w:eastAsia="Calibri"/>
          <w:sz w:val="26"/>
          <w:szCs w:val="26"/>
          <w:lang w:val="uk-UA" w:eastAsia="en-US"/>
        </w:rPr>
        <w:t xml:space="preserve">середні витрати на придбання 1 люка – </w:t>
      </w:r>
      <w:r w:rsidRPr="00266D66">
        <w:rPr>
          <w:rFonts w:eastAsia="Calibri"/>
          <w:sz w:val="26"/>
          <w:szCs w:val="26"/>
          <w:highlight w:val="yellow"/>
          <w:lang w:val="uk-UA" w:eastAsia="en-US"/>
        </w:rPr>
        <w:t>1 105,00</w:t>
      </w:r>
      <w:r w:rsidRPr="00266D66">
        <w:rPr>
          <w:rFonts w:eastAsia="Calibri"/>
          <w:sz w:val="26"/>
          <w:szCs w:val="26"/>
          <w:lang w:val="uk-UA" w:eastAsia="en-US"/>
        </w:rPr>
        <w:t xml:space="preserve"> грн. </w:t>
      </w:r>
    </w:p>
    <w:p w14:paraId="5F4FC542"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якості:</w:t>
      </w:r>
    </w:p>
    <w:p w14:paraId="124F642C" w14:textId="77777777" w:rsidR="00266D66" w:rsidRPr="00266D66" w:rsidRDefault="00266D66" w:rsidP="00266D66">
      <w:pPr>
        <w:ind w:left="993" w:hanging="142"/>
        <w:rPr>
          <w:rFonts w:eastAsia="Calibri"/>
          <w:sz w:val="26"/>
          <w:szCs w:val="26"/>
          <w:lang w:val="uk-UA" w:eastAsia="en-US"/>
        </w:rPr>
      </w:pPr>
      <w:r w:rsidRPr="00266D66">
        <w:rPr>
          <w:rFonts w:eastAsia="Calibri"/>
          <w:sz w:val="26"/>
          <w:szCs w:val="26"/>
          <w:lang w:val="uk-UA" w:eastAsia="en-US"/>
        </w:rPr>
        <w:t xml:space="preserve">відсоток колодязів, на яких планується установлення накриття належного типу (відповідно до програми), до колодязів, які його потребують – </w:t>
      </w:r>
      <w:r w:rsidRPr="00266D66">
        <w:rPr>
          <w:rFonts w:eastAsia="Calibri"/>
          <w:sz w:val="26"/>
          <w:szCs w:val="26"/>
          <w:highlight w:val="yellow"/>
          <w:lang w:val="uk-UA" w:eastAsia="en-US"/>
        </w:rPr>
        <w:t>30%</w:t>
      </w:r>
      <w:r w:rsidRPr="00266D66">
        <w:rPr>
          <w:rFonts w:eastAsia="Calibri"/>
          <w:sz w:val="26"/>
          <w:szCs w:val="26"/>
          <w:lang w:val="uk-UA" w:eastAsia="en-US"/>
        </w:rPr>
        <w:t>;</w:t>
      </w:r>
    </w:p>
    <w:p w14:paraId="0AC2B4BE" w14:textId="77777777" w:rsidR="00266D66" w:rsidRPr="00266D66" w:rsidRDefault="00266D66" w:rsidP="00266D66">
      <w:pPr>
        <w:ind w:left="993" w:hanging="142"/>
        <w:rPr>
          <w:rFonts w:eastAsia="Calibri"/>
          <w:sz w:val="26"/>
          <w:szCs w:val="26"/>
          <w:lang w:val="uk-UA" w:eastAsia="en-US"/>
        </w:rPr>
      </w:pPr>
      <w:r w:rsidRPr="00266D66">
        <w:rPr>
          <w:rFonts w:eastAsia="Calibri"/>
          <w:sz w:val="26"/>
          <w:szCs w:val="26"/>
          <w:lang w:val="uk-UA" w:eastAsia="en-US"/>
        </w:rPr>
        <w:t xml:space="preserve">динаміка заміни люків порівняно з попереднім роком збільшується на </w:t>
      </w:r>
      <w:r w:rsidRPr="00266D66">
        <w:rPr>
          <w:rFonts w:eastAsia="Calibri"/>
          <w:sz w:val="26"/>
          <w:szCs w:val="26"/>
          <w:highlight w:val="yellow"/>
          <w:lang w:val="uk-UA" w:eastAsia="en-US"/>
        </w:rPr>
        <w:t>1,9%</w:t>
      </w:r>
    </w:p>
    <w:p w14:paraId="6A9C9ECF"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 xml:space="preserve">5.1.2.  Придбання залізобетонних конструкцій </w:t>
      </w:r>
    </w:p>
    <w:p w14:paraId="15855779" w14:textId="77777777" w:rsidR="00266D66" w:rsidRPr="00266D66" w:rsidRDefault="00266D66" w:rsidP="00266D66">
      <w:pPr>
        <w:ind w:firstLine="709"/>
        <w:rPr>
          <w:rFonts w:eastAsia="Calibri"/>
          <w:b/>
          <w:i/>
          <w:lang w:val="uk-UA"/>
        </w:rPr>
      </w:pPr>
      <w:r w:rsidRPr="00266D66">
        <w:rPr>
          <w:rFonts w:eastAsia="Calibri"/>
          <w:b/>
          <w:i/>
          <w:lang w:val="uk-UA"/>
        </w:rPr>
        <w:t xml:space="preserve">Очікувані (прогнозні) показники ефективності реалізації заходу </w:t>
      </w:r>
    </w:p>
    <w:p w14:paraId="3779827E" w14:textId="77777777" w:rsidR="00266D66" w:rsidRPr="00266D66" w:rsidRDefault="00266D66" w:rsidP="00266D66">
      <w:pPr>
        <w:jc w:val="both"/>
        <w:rPr>
          <w:rFonts w:eastAsia="Calibri"/>
          <w:b/>
          <w:lang w:val="uk-UA" w:eastAsia="en-US"/>
        </w:rPr>
      </w:pPr>
      <w:r w:rsidRPr="00266D66">
        <w:rPr>
          <w:rFonts w:eastAsia="Calibri"/>
          <w:b/>
          <w:lang w:val="uk-UA" w:eastAsia="en-US"/>
        </w:rPr>
        <w:t>Придбання залізобетонних конструкцій дозволить:</w:t>
      </w:r>
    </w:p>
    <w:p w14:paraId="4B8FE4D4" w14:textId="77777777" w:rsidR="00266D66" w:rsidRPr="00266D66" w:rsidRDefault="00266D66" w:rsidP="00266D66">
      <w:pPr>
        <w:ind w:firstLine="708"/>
        <w:jc w:val="both"/>
        <w:rPr>
          <w:rFonts w:eastAsia="Calibri"/>
          <w:lang w:val="uk-UA" w:eastAsia="en-US"/>
        </w:rPr>
      </w:pPr>
      <w:r w:rsidRPr="00266D66">
        <w:rPr>
          <w:rFonts w:eastAsia="Calibri"/>
          <w:lang w:val="uk-UA" w:eastAsia="en-US"/>
        </w:rPr>
        <w:t xml:space="preserve">Виконати ремонт і будівництво водопровідних та каналізаційних </w:t>
      </w:r>
      <w:proofErr w:type="spellStart"/>
      <w:r w:rsidRPr="00266D66">
        <w:rPr>
          <w:rFonts w:eastAsia="Calibri"/>
          <w:lang w:val="uk-UA" w:eastAsia="en-US"/>
        </w:rPr>
        <w:t>колодязів.Дозволить</w:t>
      </w:r>
      <w:proofErr w:type="spellEnd"/>
      <w:r w:rsidRPr="00266D66">
        <w:rPr>
          <w:rFonts w:eastAsia="Calibri"/>
          <w:lang w:val="uk-UA" w:eastAsia="en-US"/>
        </w:rPr>
        <w:t xml:space="preserve">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14:paraId="6A4A76AC"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продукту:</w:t>
      </w:r>
    </w:p>
    <w:p w14:paraId="45B7A6A3" w14:textId="77777777" w:rsidR="00266D66" w:rsidRPr="00266D66" w:rsidRDefault="00266D66" w:rsidP="00266D66">
      <w:pPr>
        <w:rPr>
          <w:rFonts w:eastAsia="Calibri"/>
          <w:sz w:val="26"/>
          <w:szCs w:val="26"/>
          <w:shd w:val="clear" w:color="auto" w:fill="FFFFFF"/>
          <w:lang w:val="uk-UA" w:eastAsia="en-US"/>
        </w:rPr>
      </w:pPr>
      <w:r w:rsidRPr="00266D66">
        <w:rPr>
          <w:rFonts w:eastAsia="Calibri"/>
          <w:sz w:val="26"/>
          <w:szCs w:val="26"/>
          <w:shd w:val="clear" w:color="auto" w:fill="FFFFFF"/>
          <w:lang w:val="uk-UA" w:eastAsia="en-US"/>
        </w:rPr>
        <w:t xml:space="preserve">кількість залізобетонних конструкцій  – </w:t>
      </w:r>
      <w:r w:rsidRPr="00266D66">
        <w:rPr>
          <w:rFonts w:eastAsia="Calibri"/>
          <w:sz w:val="26"/>
          <w:szCs w:val="26"/>
          <w:highlight w:val="yellow"/>
          <w:shd w:val="clear" w:color="auto" w:fill="FFFFFF"/>
          <w:lang w:val="uk-UA" w:eastAsia="en-US"/>
        </w:rPr>
        <w:t>40 од</w:t>
      </w:r>
      <w:r w:rsidRPr="00266D66">
        <w:rPr>
          <w:rFonts w:eastAsia="Calibri"/>
          <w:sz w:val="26"/>
          <w:szCs w:val="26"/>
          <w:shd w:val="clear" w:color="auto" w:fill="FFFFFF"/>
          <w:lang w:val="uk-UA" w:eastAsia="en-US"/>
        </w:rPr>
        <w:t>.</w:t>
      </w:r>
    </w:p>
    <w:p w14:paraId="31808240"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lastRenderedPageBreak/>
        <w:t>Показники ефективності:</w:t>
      </w:r>
    </w:p>
    <w:p w14:paraId="2A118C38" w14:textId="77777777" w:rsidR="00266D66" w:rsidRPr="00266D66" w:rsidRDefault="00266D66" w:rsidP="00266D66">
      <w:pPr>
        <w:rPr>
          <w:rFonts w:eastAsia="Calibri"/>
          <w:sz w:val="26"/>
          <w:szCs w:val="26"/>
          <w:shd w:val="clear" w:color="auto" w:fill="FFFFFF"/>
          <w:lang w:val="uk-UA" w:eastAsia="en-US"/>
        </w:rPr>
      </w:pPr>
      <w:r w:rsidRPr="00266D66">
        <w:rPr>
          <w:rFonts w:eastAsia="Calibri"/>
          <w:sz w:val="26"/>
          <w:szCs w:val="26"/>
          <w:shd w:val="clear" w:color="auto" w:fill="FFFFFF"/>
          <w:lang w:val="uk-UA" w:eastAsia="en-US"/>
        </w:rPr>
        <w:t xml:space="preserve">середні витрати на з/б конструкцію – </w:t>
      </w:r>
      <w:r w:rsidRPr="00266D66">
        <w:rPr>
          <w:rFonts w:eastAsia="Calibri"/>
          <w:sz w:val="26"/>
          <w:szCs w:val="26"/>
          <w:highlight w:val="yellow"/>
          <w:shd w:val="clear" w:color="auto" w:fill="FFFFFF"/>
          <w:lang w:val="uk-UA" w:eastAsia="en-US"/>
        </w:rPr>
        <w:t>1 593,00</w:t>
      </w:r>
      <w:r w:rsidRPr="00266D66">
        <w:rPr>
          <w:rFonts w:eastAsia="Calibri"/>
          <w:sz w:val="26"/>
          <w:szCs w:val="26"/>
          <w:shd w:val="clear" w:color="auto" w:fill="FFFFFF"/>
          <w:lang w:val="uk-UA" w:eastAsia="en-US"/>
        </w:rPr>
        <w:t xml:space="preserve"> грн./од. </w:t>
      </w:r>
    </w:p>
    <w:p w14:paraId="7E3D184E"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якості:</w:t>
      </w:r>
    </w:p>
    <w:p w14:paraId="08DA71FC" w14:textId="77777777" w:rsidR="00266D66" w:rsidRPr="00266D66" w:rsidRDefault="00266D66" w:rsidP="00266D66">
      <w:pPr>
        <w:ind w:left="426"/>
        <w:jc w:val="both"/>
        <w:rPr>
          <w:rFonts w:eastAsia="Calibri"/>
          <w:sz w:val="26"/>
          <w:szCs w:val="26"/>
          <w:lang w:val="uk-UA" w:eastAsia="en-US"/>
        </w:rPr>
      </w:pPr>
      <w:r w:rsidRPr="00266D66">
        <w:rPr>
          <w:rFonts w:eastAsia="Calibri"/>
          <w:sz w:val="26"/>
          <w:szCs w:val="26"/>
          <w:lang w:val="uk-UA" w:eastAsia="en-US"/>
        </w:rPr>
        <w:t xml:space="preserve">планується улаштування водопровідних та каналізаційних колодязів на центральних вулицях міста для забезпечення безперебійного водопостачання та вільного доступу до мереж водовідведення </w:t>
      </w:r>
    </w:p>
    <w:p w14:paraId="3F537796"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5.1.3.  Придбання запірної арматури</w:t>
      </w:r>
    </w:p>
    <w:p w14:paraId="001F8153" w14:textId="77777777" w:rsidR="00266D66" w:rsidRPr="00266D66" w:rsidRDefault="00266D66" w:rsidP="00266D66">
      <w:pPr>
        <w:ind w:firstLine="709"/>
        <w:rPr>
          <w:rFonts w:eastAsia="Calibri"/>
          <w:b/>
          <w:i/>
          <w:lang w:val="uk-UA"/>
        </w:rPr>
      </w:pPr>
      <w:r w:rsidRPr="00266D66">
        <w:rPr>
          <w:rFonts w:eastAsia="Calibri"/>
          <w:b/>
          <w:i/>
          <w:lang w:val="uk-UA"/>
        </w:rPr>
        <w:t xml:space="preserve">Очікувані (прогнозні) показники ефективності реалізації заходу </w:t>
      </w:r>
    </w:p>
    <w:p w14:paraId="53B0F9BC" w14:textId="77777777" w:rsidR="00266D66" w:rsidRPr="00266D66" w:rsidRDefault="00266D66" w:rsidP="00266D66">
      <w:pPr>
        <w:jc w:val="both"/>
        <w:rPr>
          <w:rFonts w:eastAsia="Calibri"/>
          <w:b/>
          <w:lang w:val="uk-UA" w:eastAsia="en-US"/>
        </w:rPr>
      </w:pPr>
      <w:r w:rsidRPr="00266D66">
        <w:rPr>
          <w:rFonts w:eastAsia="Calibri"/>
          <w:b/>
          <w:lang w:val="uk-UA" w:eastAsia="en-US"/>
        </w:rPr>
        <w:t>Придбання запірної арматури дозволить:</w:t>
      </w:r>
    </w:p>
    <w:p w14:paraId="47697E0F" w14:textId="77777777" w:rsidR="00266D66" w:rsidRPr="00266D66" w:rsidRDefault="00266D66" w:rsidP="00266D66">
      <w:pPr>
        <w:ind w:firstLine="708"/>
        <w:jc w:val="both"/>
        <w:rPr>
          <w:rFonts w:eastAsia="Calibri"/>
          <w:lang w:val="uk-UA" w:eastAsia="en-US"/>
        </w:rPr>
      </w:pPr>
      <w:r w:rsidRPr="00266D66">
        <w:rPr>
          <w:rFonts w:eastAsia="Calibri"/>
          <w:lang w:val="uk-UA" w:eastAsia="en-US"/>
        </w:rPr>
        <w:t xml:space="preserve">Заміна запірної арматури 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w:t>
      </w:r>
      <w:r w:rsidRPr="00266D66">
        <w:rPr>
          <w:rFonts w:eastAsia="Calibri"/>
          <w:highlight w:val="yellow"/>
          <w:lang w:val="uk-UA" w:eastAsia="en-US"/>
        </w:rPr>
        <w:t>секційне</w:t>
      </w:r>
      <w:r w:rsidRPr="00266D66">
        <w:rPr>
          <w:rFonts w:eastAsia="Calibri"/>
          <w:lang w:val="uk-UA" w:eastAsia="en-US"/>
        </w:rPr>
        <w:t xml:space="preserve"> відключення житлового сектору міста під час виникнення аварійних ситуацій та планових ремонтних роботах. </w:t>
      </w:r>
    </w:p>
    <w:p w14:paraId="3515E8BB" w14:textId="77777777" w:rsidR="00266D66" w:rsidRPr="00266D66" w:rsidRDefault="00266D66" w:rsidP="00266D66">
      <w:pPr>
        <w:ind w:firstLine="708"/>
        <w:jc w:val="both"/>
        <w:rPr>
          <w:rFonts w:eastAsia="Calibri"/>
          <w:lang w:val="uk-UA" w:eastAsia="en-US"/>
        </w:rPr>
      </w:pPr>
      <w:r w:rsidRPr="00266D66">
        <w:rPr>
          <w:rFonts w:eastAsia="Calibri"/>
          <w:lang w:val="uk-UA" w:eastAsia="en-US"/>
        </w:rPr>
        <w:t>На Очисних спорудах при оновленні 30% запірно-розподільчої арматури дозволить якісно регулювати  режими роботи обладнання, технологічних процесів, пропуск необхідних об’ємів стоків, що збільшить інтервали між вмиканням і вимиканням насосного обладнання  та призведе до зменшення витрат електроенергії.</w:t>
      </w:r>
    </w:p>
    <w:p w14:paraId="248E1B43"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продукту:</w:t>
      </w:r>
    </w:p>
    <w:p w14:paraId="7AB89E32" w14:textId="77777777" w:rsidR="00266D66" w:rsidRPr="00266D66" w:rsidRDefault="00266D66" w:rsidP="00266D66">
      <w:pPr>
        <w:rPr>
          <w:rFonts w:eastAsia="Calibri"/>
          <w:sz w:val="26"/>
          <w:szCs w:val="26"/>
          <w:lang w:val="uk-UA" w:eastAsia="en-US"/>
        </w:rPr>
      </w:pPr>
      <w:r w:rsidRPr="00266D66">
        <w:rPr>
          <w:rFonts w:eastAsia="Calibri"/>
          <w:sz w:val="26"/>
          <w:szCs w:val="26"/>
          <w:shd w:val="clear" w:color="auto" w:fill="FFFFFF"/>
          <w:lang w:val="uk-UA" w:eastAsia="en-US"/>
        </w:rPr>
        <w:t xml:space="preserve">      кількість запірної арматури – 79шт.</w:t>
      </w:r>
    </w:p>
    <w:p w14:paraId="1799E199"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ефективності:</w:t>
      </w:r>
    </w:p>
    <w:p w14:paraId="057060C2" w14:textId="77777777" w:rsidR="00266D66" w:rsidRPr="00266D66" w:rsidRDefault="00266D66" w:rsidP="00266D66">
      <w:pPr>
        <w:rPr>
          <w:rFonts w:eastAsia="Calibri"/>
          <w:sz w:val="26"/>
          <w:szCs w:val="26"/>
          <w:lang w:val="uk-UA" w:eastAsia="en-US"/>
        </w:rPr>
      </w:pPr>
      <w:r w:rsidRPr="00266D66">
        <w:rPr>
          <w:rFonts w:eastAsia="Calibri"/>
          <w:sz w:val="26"/>
          <w:szCs w:val="26"/>
          <w:shd w:val="clear" w:color="auto" w:fill="FFFFFF"/>
          <w:lang w:val="uk-UA" w:eastAsia="en-US"/>
        </w:rPr>
        <w:t>середні витрати на запірну арматуру – 5 705,00 грн./од.</w:t>
      </w:r>
    </w:p>
    <w:p w14:paraId="433CB277"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якості:</w:t>
      </w:r>
    </w:p>
    <w:p w14:paraId="0A975DB8" w14:textId="77777777" w:rsidR="00266D66" w:rsidRPr="00266D66" w:rsidRDefault="00266D66" w:rsidP="00266D66">
      <w:pPr>
        <w:ind w:left="426"/>
        <w:jc w:val="both"/>
        <w:rPr>
          <w:rFonts w:eastAsia="Calibri"/>
          <w:sz w:val="26"/>
          <w:szCs w:val="26"/>
          <w:lang w:val="uk-UA" w:eastAsia="en-US"/>
        </w:rPr>
      </w:pPr>
      <w:r w:rsidRPr="00266D66">
        <w:rPr>
          <w:rFonts w:eastAsia="Calibri"/>
          <w:sz w:val="26"/>
          <w:szCs w:val="26"/>
          <w:lang w:val="uk-UA" w:eastAsia="en-US"/>
        </w:rPr>
        <w:t xml:space="preserve">планується заміна запірної арматури відповідного типу на ГКНС, Очисних спорудах та на водопровідних мережах центральних вулиць  міста для забезпечення безперебійного водопостачання, сталого режиму перекачування стоків  та їх очистку. </w:t>
      </w:r>
    </w:p>
    <w:p w14:paraId="6BF31131" w14:textId="77777777" w:rsidR="00266D66" w:rsidRPr="00266D66" w:rsidRDefault="00266D66" w:rsidP="00266D66">
      <w:pPr>
        <w:jc w:val="both"/>
        <w:rPr>
          <w:lang w:val="uk-UA"/>
        </w:rPr>
      </w:pPr>
    </w:p>
    <w:p w14:paraId="66E76B3A" w14:textId="77777777" w:rsidR="00266D66" w:rsidRPr="00266D66" w:rsidRDefault="00266D66" w:rsidP="00266D66">
      <w:pPr>
        <w:jc w:val="both"/>
        <w:rPr>
          <w:lang w:val="uk-UA"/>
        </w:rPr>
      </w:pPr>
      <w:r w:rsidRPr="00266D66">
        <w:rPr>
          <w:lang w:val="uk-UA"/>
        </w:rPr>
        <w:t xml:space="preserve">В цілому, впровадження Програми дозволить розв’язати дуже важливі проблеми аварійності мереж та стабільності водопостачання і </w:t>
      </w:r>
      <w:proofErr w:type="spellStart"/>
      <w:r w:rsidRPr="00266D66">
        <w:rPr>
          <w:lang w:val="uk-UA"/>
        </w:rPr>
        <w:t>водовідведенння</w:t>
      </w:r>
      <w:proofErr w:type="spellEnd"/>
    </w:p>
    <w:p w14:paraId="57097599" w14:textId="77777777" w:rsidR="00266D66" w:rsidRPr="00266D66" w:rsidRDefault="00266D66" w:rsidP="00266D66">
      <w:pPr>
        <w:numPr>
          <w:ilvl w:val="0"/>
          <w:numId w:val="35"/>
        </w:numPr>
        <w:tabs>
          <w:tab w:val="num" w:pos="720"/>
        </w:tabs>
        <w:ind w:left="720"/>
        <w:rPr>
          <w:lang w:val="uk-UA"/>
        </w:rPr>
      </w:pPr>
      <w:r w:rsidRPr="00266D66">
        <w:rPr>
          <w:lang w:val="uk-UA"/>
        </w:rPr>
        <w:t xml:space="preserve">Заходи відносно недорогі; </w:t>
      </w:r>
    </w:p>
    <w:p w14:paraId="20F14D25" w14:textId="77777777" w:rsidR="00266D66" w:rsidRPr="00266D66" w:rsidRDefault="00266D66" w:rsidP="00266D66">
      <w:pPr>
        <w:numPr>
          <w:ilvl w:val="0"/>
          <w:numId w:val="35"/>
        </w:numPr>
        <w:tabs>
          <w:tab w:val="num" w:pos="720"/>
        </w:tabs>
        <w:ind w:left="720"/>
        <w:rPr>
          <w:lang w:val="uk-UA"/>
        </w:rPr>
      </w:pPr>
      <w:r w:rsidRPr="00266D66">
        <w:rPr>
          <w:lang w:val="uk-UA"/>
        </w:rPr>
        <w:t>Вирішується питання зменшення витоків і втрат та якості надання послуг водопостачання та водовідведення;</w:t>
      </w:r>
    </w:p>
    <w:p w14:paraId="642940C2" w14:textId="77777777" w:rsidR="00266D66" w:rsidRPr="00266D66" w:rsidRDefault="00266D66" w:rsidP="00266D66">
      <w:pPr>
        <w:numPr>
          <w:ilvl w:val="0"/>
          <w:numId w:val="35"/>
        </w:numPr>
        <w:tabs>
          <w:tab w:val="num" w:pos="720"/>
        </w:tabs>
        <w:ind w:left="720"/>
        <w:jc w:val="both"/>
        <w:rPr>
          <w:lang w:val="uk-UA"/>
        </w:rPr>
      </w:pPr>
      <w:r w:rsidRPr="00266D66">
        <w:rPr>
          <w:lang w:val="uk-UA"/>
        </w:rPr>
        <w:t>Покращення санітарних умов проживання жителів;</w:t>
      </w:r>
    </w:p>
    <w:p w14:paraId="1DA634C9" w14:textId="77777777" w:rsidR="00266D66" w:rsidRPr="00266D66" w:rsidRDefault="00266D66" w:rsidP="00266D66">
      <w:pPr>
        <w:numPr>
          <w:ilvl w:val="0"/>
          <w:numId w:val="35"/>
        </w:numPr>
        <w:tabs>
          <w:tab w:val="num" w:pos="720"/>
        </w:tabs>
        <w:ind w:left="720"/>
        <w:rPr>
          <w:lang w:val="uk-UA"/>
        </w:rPr>
      </w:pPr>
      <w:r w:rsidRPr="00266D66">
        <w:rPr>
          <w:lang w:val="uk-UA"/>
        </w:rPr>
        <w:t xml:space="preserve">Вирішується питання зменшення випадків травматизму населення і зростання його довіри до місцевої влади; </w:t>
      </w:r>
    </w:p>
    <w:p w14:paraId="0C43C27D" w14:textId="77777777" w:rsidR="00266D66" w:rsidRPr="00266D66" w:rsidRDefault="00266D66" w:rsidP="00266D66">
      <w:pPr>
        <w:numPr>
          <w:ilvl w:val="0"/>
          <w:numId w:val="35"/>
        </w:numPr>
        <w:tabs>
          <w:tab w:val="num" w:pos="720"/>
        </w:tabs>
        <w:ind w:left="720"/>
        <w:rPr>
          <w:lang w:val="uk-UA"/>
        </w:rPr>
      </w:pPr>
      <w:r w:rsidRPr="00266D66">
        <w:rPr>
          <w:lang w:val="uk-UA"/>
        </w:rPr>
        <w:t>Зменшення випадків виникнення аварійних ситуацій</w:t>
      </w:r>
    </w:p>
    <w:p w14:paraId="1E88E31E" w14:textId="77777777" w:rsidR="00266D66" w:rsidRPr="00266D66" w:rsidRDefault="00266D66" w:rsidP="00266D66">
      <w:pPr>
        <w:numPr>
          <w:ilvl w:val="0"/>
          <w:numId w:val="35"/>
        </w:numPr>
        <w:tabs>
          <w:tab w:val="num" w:pos="720"/>
        </w:tabs>
        <w:ind w:left="720"/>
        <w:jc w:val="both"/>
        <w:rPr>
          <w:lang w:val="uk-UA"/>
        </w:rPr>
      </w:pPr>
      <w:r w:rsidRPr="00266D66">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047DC819" w14:textId="77777777" w:rsidR="00266D66" w:rsidRPr="00266D66" w:rsidRDefault="00266D66" w:rsidP="00266D66">
      <w:pPr>
        <w:numPr>
          <w:ilvl w:val="0"/>
          <w:numId w:val="35"/>
        </w:numPr>
        <w:tabs>
          <w:tab w:val="num" w:pos="720"/>
        </w:tabs>
        <w:ind w:left="720"/>
        <w:rPr>
          <w:lang w:val="uk-UA"/>
        </w:rPr>
      </w:pPr>
      <w:r w:rsidRPr="00266D66">
        <w:rPr>
          <w:lang w:val="uk-UA"/>
        </w:rPr>
        <w:t>Поліпшення екологічної обстановки, запобігання виникнення надзвичайних екологічних ситуацій;</w:t>
      </w:r>
    </w:p>
    <w:p w14:paraId="68722485" w14:textId="77777777" w:rsidR="00266D66" w:rsidRPr="00266D66" w:rsidRDefault="00266D66" w:rsidP="00266D66">
      <w:pPr>
        <w:numPr>
          <w:ilvl w:val="0"/>
          <w:numId w:val="35"/>
        </w:numPr>
        <w:tabs>
          <w:tab w:val="num" w:pos="720"/>
        </w:tabs>
        <w:ind w:left="720"/>
        <w:contextualSpacing/>
        <w:rPr>
          <w:b/>
          <w:lang w:val="uk-UA"/>
        </w:rPr>
      </w:pPr>
      <w:r w:rsidRPr="00266D66">
        <w:rPr>
          <w:lang w:val="uk-UA"/>
        </w:rPr>
        <w:t>Експлуатаційні витрати будуть незначними.</w:t>
      </w:r>
    </w:p>
    <w:p w14:paraId="7DF0006B" w14:textId="77777777" w:rsidR="00266D66" w:rsidRPr="00266D66" w:rsidRDefault="00266D66" w:rsidP="00266D66">
      <w:pPr>
        <w:numPr>
          <w:ilvl w:val="0"/>
          <w:numId w:val="36"/>
        </w:numPr>
        <w:jc w:val="center"/>
        <w:rPr>
          <w:lang w:val="uk-UA"/>
        </w:rPr>
      </w:pPr>
      <w:r w:rsidRPr="00266D66">
        <w:rPr>
          <w:b/>
          <w:bCs/>
          <w:color w:val="000000"/>
          <w:lang w:val="uk-UA"/>
        </w:rPr>
        <w:t>Координація та контроль за ходом виконання програми</w:t>
      </w:r>
    </w:p>
    <w:p w14:paraId="7B4CFD9B" w14:textId="77777777" w:rsidR="00266D66" w:rsidRPr="00266D66" w:rsidRDefault="00266D66" w:rsidP="00266D66">
      <w:pPr>
        <w:ind w:firstLine="567"/>
        <w:jc w:val="both"/>
        <w:rPr>
          <w:lang w:val="uk-UA"/>
        </w:rPr>
      </w:pPr>
      <w:r w:rsidRPr="00266D66">
        <w:rPr>
          <w:color w:val="000000"/>
          <w:lang w:val="uk-UA"/>
        </w:rPr>
        <w:t>Визначити координатором програми першого заступника міського голови з питань діяльності виконавчих органів ради.</w:t>
      </w:r>
    </w:p>
    <w:p w14:paraId="53AA2383" w14:textId="77777777" w:rsidR="00266D66" w:rsidRPr="00266D66" w:rsidRDefault="00266D66" w:rsidP="00266D66">
      <w:pPr>
        <w:ind w:firstLine="567"/>
        <w:jc w:val="both"/>
        <w:rPr>
          <w:lang w:val="uk-UA"/>
        </w:rPr>
      </w:pPr>
      <w:r w:rsidRPr="00266D66">
        <w:rPr>
          <w:color w:val="00000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1212A56" w14:textId="77777777" w:rsidR="00266D66" w:rsidRPr="00266D66" w:rsidRDefault="00266D66" w:rsidP="00266D66">
      <w:pPr>
        <w:ind w:firstLine="567"/>
        <w:jc w:val="both"/>
        <w:rPr>
          <w:lang w:val="uk-UA"/>
        </w:rPr>
      </w:pPr>
      <w:r w:rsidRPr="00266D66">
        <w:rPr>
          <w:color w:val="000000"/>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3062059A" w14:textId="77777777" w:rsidR="00266D66" w:rsidRPr="00266D66" w:rsidRDefault="00266D66" w:rsidP="00266D66">
      <w:pPr>
        <w:ind w:firstLine="567"/>
        <w:jc w:val="both"/>
        <w:rPr>
          <w:lang w:val="uk-UA"/>
        </w:rPr>
      </w:pPr>
      <w:r w:rsidRPr="00266D66">
        <w:rPr>
          <w:color w:val="00000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B7DAF0D" w14:textId="77777777" w:rsidR="00266D66" w:rsidRPr="00266D66" w:rsidRDefault="00266D66" w:rsidP="00266D66">
      <w:pPr>
        <w:jc w:val="center"/>
        <w:rPr>
          <w:lang w:val="uk-UA"/>
        </w:rPr>
      </w:pPr>
    </w:p>
    <w:p w14:paraId="33C032F2" w14:textId="7ED44453" w:rsidR="00266D66" w:rsidRPr="00266D66" w:rsidRDefault="00266D66" w:rsidP="00266D66">
      <w:pPr>
        <w:jc w:val="center"/>
        <w:rPr>
          <w:lang w:val="uk-UA"/>
        </w:rPr>
      </w:pPr>
      <w:r w:rsidRPr="00266D66">
        <w:rPr>
          <w:lang w:val="uk-UA"/>
        </w:rPr>
        <w:t>Міський голова</w:t>
      </w:r>
      <w:r w:rsidRPr="00266D66">
        <w:rPr>
          <w:lang w:val="uk-UA"/>
        </w:rPr>
        <w:tab/>
      </w:r>
      <w:r w:rsidRPr="00EF5BB0">
        <w:rPr>
          <w:lang w:val="uk-UA"/>
        </w:rPr>
        <w:t xml:space="preserve">                         </w:t>
      </w:r>
      <w:r w:rsidRPr="00266D66">
        <w:rPr>
          <w:lang w:val="uk-UA"/>
        </w:rPr>
        <w:tab/>
      </w:r>
      <w:r w:rsidRPr="00266D66">
        <w:rPr>
          <w:lang w:val="uk-UA"/>
        </w:rPr>
        <w:tab/>
      </w:r>
      <w:r w:rsidRPr="00266D66">
        <w:rPr>
          <w:lang w:val="uk-UA"/>
        </w:rPr>
        <w:tab/>
      </w:r>
      <w:r w:rsidRPr="00266D66">
        <w:rPr>
          <w:lang w:val="uk-UA"/>
        </w:rPr>
        <w:tab/>
        <w:t>Олександр КОДОЛА</w:t>
      </w:r>
    </w:p>
    <w:sectPr w:rsidR="00266D66" w:rsidRPr="00266D66"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6A49" w14:textId="77777777" w:rsidR="00E128E3" w:rsidRDefault="00E128E3" w:rsidP="00AF2A51">
      <w:r>
        <w:separator/>
      </w:r>
    </w:p>
  </w:endnote>
  <w:endnote w:type="continuationSeparator" w:id="0">
    <w:p w14:paraId="07FA2EB5" w14:textId="77777777" w:rsidR="00E128E3" w:rsidRDefault="00E128E3"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7E64" w14:textId="77777777" w:rsidR="00E128E3" w:rsidRDefault="00E128E3" w:rsidP="00AF2A51">
      <w:r>
        <w:separator/>
      </w:r>
    </w:p>
  </w:footnote>
  <w:footnote w:type="continuationSeparator" w:id="0">
    <w:p w14:paraId="3E3AF054" w14:textId="77777777" w:rsidR="00E128E3" w:rsidRDefault="00E128E3"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3"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27C680C"/>
    <w:multiLevelType w:val="multilevel"/>
    <w:tmpl w:val="179C0D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4"/>
  </w:num>
  <w:num w:numId="4">
    <w:abstractNumId w:val="35"/>
  </w:num>
  <w:num w:numId="5">
    <w:abstractNumId w:val="1"/>
  </w:num>
  <w:num w:numId="6">
    <w:abstractNumId w:val="27"/>
  </w:num>
  <w:num w:numId="7">
    <w:abstractNumId w:val="29"/>
  </w:num>
  <w:num w:numId="8">
    <w:abstractNumId w:val="19"/>
  </w:num>
  <w:num w:numId="9">
    <w:abstractNumId w:val="15"/>
  </w:num>
  <w:num w:numId="10">
    <w:abstractNumId w:val="10"/>
  </w:num>
  <w:num w:numId="11">
    <w:abstractNumId w:val="32"/>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5"/>
  </w:num>
  <w:num w:numId="16">
    <w:abstractNumId w:val="33"/>
  </w:num>
  <w:num w:numId="17">
    <w:abstractNumId w:val="34"/>
  </w:num>
  <w:num w:numId="18">
    <w:abstractNumId w:val="12"/>
  </w:num>
  <w:num w:numId="19">
    <w:abstractNumId w:val="3"/>
  </w:num>
  <w:num w:numId="20">
    <w:abstractNumId w:val="4"/>
  </w:num>
  <w:num w:numId="21">
    <w:abstractNumId w:val="6"/>
  </w:num>
  <w:num w:numId="22">
    <w:abstractNumId w:val="31"/>
  </w:num>
  <w:num w:numId="23">
    <w:abstractNumId w:val="23"/>
  </w:num>
  <w:num w:numId="24">
    <w:abstractNumId w:val="24"/>
  </w:num>
  <w:num w:numId="25">
    <w:abstractNumId w:val="5"/>
  </w:num>
  <w:num w:numId="26">
    <w:abstractNumId w:val="9"/>
  </w:num>
  <w:num w:numId="27">
    <w:abstractNumId w:val="13"/>
  </w:num>
  <w:num w:numId="28">
    <w:abstractNumId w:val="8"/>
  </w:num>
  <w:num w:numId="29">
    <w:abstractNumId w:val="11"/>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7"/>
  </w:num>
  <w:num w:numId="33">
    <w:abstractNumId w:val="25"/>
  </w:num>
  <w:num w:numId="34">
    <w:abstractNumId w:val="20"/>
  </w:num>
  <w:num w:numId="35">
    <w:abstractNumId w:val="0"/>
  </w:num>
  <w:num w:numId="3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6"/>
  </w:num>
  <w:num w:numId="3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69B3"/>
    <w:rsid w:val="00037188"/>
    <w:rsid w:val="000372A9"/>
    <w:rsid w:val="0004016E"/>
    <w:rsid w:val="00040FB4"/>
    <w:rsid w:val="00043FBE"/>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01CE"/>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4645"/>
    <w:rsid w:val="00175826"/>
    <w:rsid w:val="001774A4"/>
    <w:rsid w:val="00180E18"/>
    <w:rsid w:val="001820A0"/>
    <w:rsid w:val="00187B95"/>
    <w:rsid w:val="0019075A"/>
    <w:rsid w:val="00190917"/>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642"/>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366E1"/>
    <w:rsid w:val="002478C1"/>
    <w:rsid w:val="00250282"/>
    <w:rsid w:val="00250593"/>
    <w:rsid w:val="00250A73"/>
    <w:rsid w:val="00255785"/>
    <w:rsid w:val="00257BA8"/>
    <w:rsid w:val="00261E4E"/>
    <w:rsid w:val="00265BAE"/>
    <w:rsid w:val="00266D66"/>
    <w:rsid w:val="00266FF1"/>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55B84"/>
    <w:rsid w:val="00356715"/>
    <w:rsid w:val="003574D8"/>
    <w:rsid w:val="00357CF3"/>
    <w:rsid w:val="003619B6"/>
    <w:rsid w:val="003627AF"/>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B4A37"/>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71E9B"/>
    <w:rsid w:val="00472CC7"/>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3C4D"/>
    <w:rsid w:val="005375B4"/>
    <w:rsid w:val="0053770E"/>
    <w:rsid w:val="005402BA"/>
    <w:rsid w:val="00541764"/>
    <w:rsid w:val="00544851"/>
    <w:rsid w:val="005543A2"/>
    <w:rsid w:val="0055781D"/>
    <w:rsid w:val="005617EE"/>
    <w:rsid w:val="005619D6"/>
    <w:rsid w:val="005659DE"/>
    <w:rsid w:val="00573B0C"/>
    <w:rsid w:val="00576434"/>
    <w:rsid w:val="0057647F"/>
    <w:rsid w:val="00576A88"/>
    <w:rsid w:val="00580154"/>
    <w:rsid w:val="00580FE5"/>
    <w:rsid w:val="00582199"/>
    <w:rsid w:val="00583932"/>
    <w:rsid w:val="005848B2"/>
    <w:rsid w:val="00593106"/>
    <w:rsid w:val="00594C0D"/>
    <w:rsid w:val="00595349"/>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254D"/>
    <w:rsid w:val="006A4321"/>
    <w:rsid w:val="006A5502"/>
    <w:rsid w:val="006A670B"/>
    <w:rsid w:val="006B098E"/>
    <w:rsid w:val="006B23B3"/>
    <w:rsid w:val="006B30DC"/>
    <w:rsid w:val="006B6ED5"/>
    <w:rsid w:val="006C0DDC"/>
    <w:rsid w:val="006C2129"/>
    <w:rsid w:val="006C2844"/>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6A47"/>
    <w:rsid w:val="007279E6"/>
    <w:rsid w:val="00731F91"/>
    <w:rsid w:val="00733276"/>
    <w:rsid w:val="00733C33"/>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66099"/>
    <w:rsid w:val="00870224"/>
    <w:rsid w:val="00870FCA"/>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0055"/>
    <w:rsid w:val="00921BAE"/>
    <w:rsid w:val="009233BE"/>
    <w:rsid w:val="00924009"/>
    <w:rsid w:val="00924DA1"/>
    <w:rsid w:val="00924ED4"/>
    <w:rsid w:val="0092560D"/>
    <w:rsid w:val="00927E77"/>
    <w:rsid w:val="00930A8F"/>
    <w:rsid w:val="0093150B"/>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81E0C"/>
    <w:rsid w:val="00986405"/>
    <w:rsid w:val="00986BC8"/>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275F"/>
    <w:rsid w:val="00A0318A"/>
    <w:rsid w:val="00A03FD4"/>
    <w:rsid w:val="00A04CBC"/>
    <w:rsid w:val="00A06169"/>
    <w:rsid w:val="00A07307"/>
    <w:rsid w:val="00A12384"/>
    <w:rsid w:val="00A2310B"/>
    <w:rsid w:val="00A267C4"/>
    <w:rsid w:val="00A30C88"/>
    <w:rsid w:val="00A336F7"/>
    <w:rsid w:val="00A35C6C"/>
    <w:rsid w:val="00A44340"/>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86FC9"/>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2045"/>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13DB3"/>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93530"/>
    <w:rsid w:val="00B9689E"/>
    <w:rsid w:val="00BA6DB7"/>
    <w:rsid w:val="00BB2A97"/>
    <w:rsid w:val="00BB2B03"/>
    <w:rsid w:val="00BC2F00"/>
    <w:rsid w:val="00BC3662"/>
    <w:rsid w:val="00BC3E19"/>
    <w:rsid w:val="00BC63F6"/>
    <w:rsid w:val="00BC6AF0"/>
    <w:rsid w:val="00BC7FA0"/>
    <w:rsid w:val="00BD0967"/>
    <w:rsid w:val="00BD1D0F"/>
    <w:rsid w:val="00BD31F8"/>
    <w:rsid w:val="00BE107F"/>
    <w:rsid w:val="00BE2882"/>
    <w:rsid w:val="00BE2EB9"/>
    <w:rsid w:val="00BE7B60"/>
    <w:rsid w:val="00BF0D08"/>
    <w:rsid w:val="00BF738C"/>
    <w:rsid w:val="00BF7737"/>
    <w:rsid w:val="00C01EA6"/>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37B8B"/>
    <w:rsid w:val="00C4153E"/>
    <w:rsid w:val="00C4170C"/>
    <w:rsid w:val="00C42750"/>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6BD8"/>
    <w:rsid w:val="00C87C01"/>
    <w:rsid w:val="00C907B3"/>
    <w:rsid w:val="00C91F3F"/>
    <w:rsid w:val="00C926D5"/>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E0AEA"/>
    <w:rsid w:val="00DE17E0"/>
    <w:rsid w:val="00DE30A3"/>
    <w:rsid w:val="00DE383E"/>
    <w:rsid w:val="00DE659A"/>
    <w:rsid w:val="00DE755E"/>
    <w:rsid w:val="00DF27F5"/>
    <w:rsid w:val="00DF5434"/>
    <w:rsid w:val="00DF7E33"/>
    <w:rsid w:val="00E02695"/>
    <w:rsid w:val="00E03DDA"/>
    <w:rsid w:val="00E06BAD"/>
    <w:rsid w:val="00E11525"/>
    <w:rsid w:val="00E128E3"/>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5BB0"/>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44205"/>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5284"/>
    <w:rsid w:val="00F874F3"/>
    <w:rsid w:val="00F914E7"/>
    <w:rsid w:val="00F9162A"/>
    <w:rsid w:val="00F916CD"/>
    <w:rsid w:val="00F938E5"/>
    <w:rsid w:val="00F94EB2"/>
    <w:rsid w:val="00F965B9"/>
    <w:rsid w:val="00F966CB"/>
    <w:rsid w:val="00FA0843"/>
    <w:rsid w:val="00FA2C17"/>
    <w:rsid w:val="00FA3FF5"/>
    <w:rsid w:val="00FA5A97"/>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E7280"/>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15:docId w15:val="{63ED6E60-F935-4AE3-AFAD-FB544220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table" w:customStyle="1" w:styleId="12">
    <w:name w:val="Сетка таблицы1"/>
    <w:basedOn w:val="a1"/>
    <w:next w:val="ad"/>
    <w:uiPriority w:val="59"/>
    <w:rsid w:val="00266D66"/>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26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CFB7-C0A2-46E5-9748-22EDB6B0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Пользователь</cp:lastModifiedBy>
  <cp:revision>10</cp:revision>
  <cp:lastPrinted>2024-04-15T07:35:00Z</cp:lastPrinted>
  <dcterms:created xsi:type="dcterms:W3CDTF">2024-03-28T14:39:00Z</dcterms:created>
  <dcterms:modified xsi:type="dcterms:W3CDTF">2024-04-15T07:35:00Z</dcterms:modified>
</cp:coreProperties>
</file>