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603727" w:rsidRDefault="006D1898" w:rsidP="00E6009E">
      <w:pPr>
        <w:ind w:left="708" w:firstLine="708"/>
        <w:contextualSpacing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603727">
        <w:rPr>
          <w:lang w:val="uk-UA"/>
        </w:rPr>
        <w:t>Додаток</w:t>
      </w:r>
      <w:r w:rsidR="00127761" w:rsidRPr="00603727">
        <w:rPr>
          <w:lang w:val="uk-UA"/>
        </w:rPr>
        <w:t xml:space="preserve"> </w:t>
      </w:r>
    </w:p>
    <w:p w:rsidR="006D1898" w:rsidRPr="00603727" w:rsidRDefault="006D1898" w:rsidP="00E6009E">
      <w:pPr>
        <w:contextualSpacing/>
        <w:jc w:val="right"/>
        <w:rPr>
          <w:lang w:val="uk-UA"/>
        </w:rPr>
      </w:pPr>
      <w:r w:rsidRPr="00603727">
        <w:rPr>
          <w:lang w:val="uk-UA"/>
        </w:rPr>
        <w:t xml:space="preserve">до інформації про виконання програми  </w:t>
      </w:r>
    </w:p>
    <w:p w:rsidR="002608B7" w:rsidRPr="00603727" w:rsidRDefault="002608B7" w:rsidP="00E6009E">
      <w:pPr>
        <w:contextualSpacing/>
        <w:jc w:val="right"/>
        <w:rPr>
          <w:lang w:val="uk-UA"/>
        </w:rPr>
      </w:pPr>
    </w:p>
    <w:p w:rsidR="002608B7" w:rsidRPr="00603727" w:rsidRDefault="00892B46" w:rsidP="00E6009E">
      <w:pPr>
        <w:contextualSpacing/>
        <w:jc w:val="center"/>
        <w:rPr>
          <w:b/>
          <w:lang w:val="uk-UA"/>
        </w:rPr>
      </w:pPr>
      <w:r w:rsidRPr="00603727">
        <w:rPr>
          <w:b/>
          <w:lang w:val="uk-UA"/>
        </w:rPr>
        <w:t>Стан виконання міської цільової</w:t>
      </w:r>
      <w:r w:rsidR="002608B7" w:rsidRPr="00603727">
        <w:rPr>
          <w:b/>
          <w:lang w:val="uk-UA"/>
        </w:rPr>
        <w:t xml:space="preserve"> програми</w:t>
      </w:r>
      <w:r w:rsidR="00BA70C8" w:rsidRPr="00603727">
        <w:rPr>
          <w:b/>
          <w:lang w:val="uk-UA"/>
        </w:rPr>
        <w:t xml:space="preserve"> </w:t>
      </w:r>
      <w:r w:rsidR="00FE3B1C" w:rsidRPr="00603727">
        <w:rPr>
          <w:b/>
          <w:lang w:val="uk-UA"/>
        </w:rPr>
        <w:t>станом на 01.</w:t>
      </w:r>
      <w:r w:rsidR="00D41863" w:rsidRPr="00603727">
        <w:rPr>
          <w:b/>
          <w:lang w:val="uk-UA"/>
        </w:rPr>
        <w:t>0</w:t>
      </w:r>
      <w:r w:rsidR="003B2E93" w:rsidRPr="00603727">
        <w:rPr>
          <w:b/>
          <w:lang w:val="uk-UA"/>
        </w:rPr>
        <w:t>4</w:t>
      </w:r>
      <w:r w:rsidR="00D41863" w:rsidRPr="00603727">
        <w:rPr>
          <w:b/>
          <w:lang w:val="uk-UA"/>
        </w:rPr>
        <w:t>.202</w:t>
      </w:r>
      <w:r w:rsidR="00A41695" w:rsidRPr="00603727">
        <w:rPr>
          <w:b/>
          <w:lang w:val="uk-UA"/>
        </w:rPr>
        <w:t>4</w:t>
      </w:r>
      <w:r w:rsidR="00FE3B1C" w:rsidRPr="00603727">
        <w:rPr>
          <w:b/>
          <w:lang w:val="uk-UA"/>
        </w:rPr>
        <w:t xml:space="preserve"> </w:t>
      </w:r>
      <w:r w:rsidR="00FF6495" w:rsidRPr="00603727">
        <w:rPr>
          <w:b/>
          <w:lang w:val="uk-UA"/>
        </w:rPr>
        <w:t>р.</w:t>
      </w:r>
      <w:r w:rsidR="002608B7" w:rsidRPr="00603727">
        <w:rPr>
          <w:b/>
          <w:lang w:val="uk-UA"/>
        </w:rPr>
        <w:t xml:space="preserve"> </w:t>
      </w:r>
    </w:p>
    <w:p w:rsidR="002608B7" w:rsidRPr="00603727" w:rsidRDefault="002608B7" w:rsidP="00E6009E">
      <w:pPr>
        <w:contextualSpacing/>
        <w:jc w:val="both"/>
        <w:rPr>
          <w:b/>
          <w:bCs/>
          <w:lang w:val="uk-UA"/>
        </w:rPr>
      </w:pPr>
      <w:r w:rsidRPr="00603727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603727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603727">
        <w:rPr>
          <w:b/>
          <w:bCs/>
          <w:lang w:val="uk-UA"/>
        </w:rPr>
        <w:t xml:space="preserve">Ніжинської міської </w:t>
      </w:r>
      <w:r w:rsidR="006D1898" w:rsidRPr="00603727">
        <w:rPr>
          <w:b/>
          <w:bCs/>
          <w:lang w:val="uk-UA"/>
        </w:rPr>
        <w:t>т</w:t>
      </w:r>
      <w:r w:rsidR="002A2CD7" w:rsidRPr="00603727">
        <w:rPr>
          <w:b/>
          <w:bCs/>
          <w:lang w:val="uk-UA"/>
        </w:rPr>
        <w:t>ериторіальної громади</w:t>
      </w:r>
      <w:r w:rsidRPr="00603727">
        <w:rPr>
          <w:b/>
          <w:lang w:val="uk-UA"/>
        </w:rPr>
        <w:t xml:space="preserve"> на </w:t>
      </w:r>
      <w:r w:rsidR="002A2CD7" w:rsidRPr="00603727">
        <w:rPr>
          <w:b/>
          <w:lang w:val="uk-UA"/>
        </w:rPr>
        <w:t>202</w:t>
      </w:r>
      <w:r w:rsidR="00A41695" w:rsidRPr="00603727">
        <w:rPr>
          <w:b/>
          <w:lang w:val="uk-UA"/>
        </w:rPr>
        <w:t>4</w:t>
      </w:r>
      <w:r w:rsidR="00BA70C8" w:rsidRPr="00603727">
        <w:rPr>
          <w:b/>
          <w:lang w:val="uk-UA"/>
        </w:rPr>
        <w:t xml:space="preserve"> </w:t>
      </w:r>
      <w:r w:rsidRPr="00603727">
        <w:rPr>
          <w:b/>
          <w:lang w:val="uk-UA"/>
        </w:rPr>
        <w:t>рік</w:t>
      </w:r>
      <w:r w:rsidRPr="00603727">
        <w:rPr>
          <w:b/>
          <w:bCs/>
          <w:lang w:val="uk-UA"/>
        </w:rPr>
        <w:t>»</w:t>
      </w:r>
      <w:r w:rsidR="004B4C68" w:rsidRPr="00603727">
        <w:rPr>
          <w:b/>
          <w:bCs/>
          <w:lang w:val="uk-UA"/>
        </w:rPr>
        <w:t xml:space="preserve"> (далі – Програма)</w:t>
      </w:r>
      <w:r w:rsidR="00FF6495" w:rsidRPr="00603727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603727">
        <w:rPr>
          <w:b/>
          <w:bCs/>
          <w:lang w:val="uk-UA"/>
        </w:rPr>
        <w:t xml:space="preserve">Чернігівської області </w:t>
      </w:r>
      <w:r w:rsidR="00FF6495" w:rsidRPr="00603727">
        <w:rPr>
          <w:b/>
          <w:bCs/>
          <w:lang w:val="uk-UA"/>
        </w:rPr>
        <w:t xml:space="preserve">від </w:t>
      </w:r>
      <w:r w:rsidR="003B2E93" w:rsidRPr="00603727">
        <w:rPr>
          <w:b/>
          <w:bCs/>
          <w:lang w:val="uk-UA"/>
        </w:rPr>
        <w:t>0</w:t>
      </w:r>
      <w:r w:rsidR="00A41695" w:rsidRPr="00603727">
        <w:rPr>
          <w:b/>
          <w:bCs/>
          <w:lang w:val="uk-UA"/>
        </w:rPr>
        <w:t>8</w:t>
      </w:r>
      <w:r w:rsidR="003B2E93" w:rsidRPr="00603727">
        <w:rPr>
          <w:b/>
          <w:bCs/>
          <w:lang w:val="uk-UA"/>
        </w:rPr>
        <w:t xml:space="preserve"> грудня 202</w:t>
      </w:r>
      <w:r w:rsidR="00A41695" w:rsidRPr="00603727">
        <w:rPr>
          <w:b/>
          <w:bCs/>
          <w:lang w:val="uk-UA"/>
        </w:rPr>
        <w:t>3</w:t>
      </w:r>
      <w:r w:rsidR="003B2E93" w:rsidRPr="00603727">
        <w:rPr>
          <w:b/>
          <w:bCs/>
          <w:lang w:val="uk-UA"/>
        </w:rPr>
        <w:t xml:space="preserve"> </w:t>
      </w:r>
      <w:r w:rsidR="00FF6495" w:rsidRPr="00603727">
        <w:rPr>
          <w:b/>
          <w:bCs/>
          <w:lang w:val="uk-UA"/>
        </w:rPr>
        <w:t>року №</w:t>
      </w:r>
      <w:r w:rsidR="00A41695" w:rsidRPr="00603727">
        <w:rPr>
          <w:b/>
          <w:bCs/>
          <w:lang w:val="uk-UA"/>
        </w:rPr>
        <w:t xml:space="preserve"> 2-35</w:t>
      </w:r>
      <w:r w:rsidR="00FF6495" w:rsidRPr="00603727">
        <w:rPr>
          <w:b/>
          <w:bCs/>
          <w:lang w:val="uk-UA"/>
        </w:rPr>
        <w:t>/202</w:t>
      </w:r>
      <w:r w:rsidR="00A41695" w:rsidRPr="00603727">
        <w:rPr>
          <w:b/>
          <w:bCs/>
          <w:lang w:val="uk-UA"/>
        </w:rPr>
        <w:t>3</w:t>
      </w:r>
      <w:r w:rsidR="00FF6495" w:rsidRPr="00603727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A41695" w:rsidRPr="00603727">
        <w:rPr>
          <w:b/>
          <w:bCs/>
          <w:lang w:val="uk-UA"/>
        </w:rPr>
        <w:t>4</w:t>
      </w:r>
      <w:r w:rsidR="00FF6495" w:rsidRPr="00603727">
        <w:rPr>
          <w:b/>
          <w:bCs/>
          <w:lang w:val="uk-UA"/>
        </w:rPr>
        <w:t xml:space="preserve"> рік</w:t>
      </w:r>
      <w:r w:rsidR="003B2E93" w:rsidRPr="00603727">
        <w:rPr>
          <w:b/>
          <w:bCs/>
          <w:lang w:val="uk-UA"/>
        </w:rPr>
        <w:t xml:space="preserve"> </w:t>
      </w:r>
      <w:r w:rsidR="00FF6495" w:rsidRPr="00603727">
        <w:rPr>
          <w:b/>
          <w:bCs/>
          <w:lang w:val="uk-UA"/>
        </w:rPr>
        <w:t>»</w:t>
      </w:r>
      <w:r w:rsidR="00676803" w:rsidRPr="00603727">
        <w:rPr>
          <w:b/>
          <w:bCs/>
          <w:lang w:val="uk-UA"/>
        </w:rPr>
        <w:t xml:space="preserve"> (додаток № 35 до рішення)</w:t>
      </w:r>
    </w:p>
    <w:p w:rsidR="002608B7" w:rsidRPr="00603727" w:rsidRDefault="002608B7" w:rsidP="00E6009E">
      <w:pPr>
        <w:contextualSpacing/>
        <w:jc w:val="center"/>
        <w:rPr>
          <w:b/>
          <w:bCs/>
          <w:lang w:val="uk-UA"/>
        </w:rPr>
      </w:pPr>
    </w:p>
    <w:p w:rsidR="00FF6495" w:rsidRPr="00603727" w:rsidRDefault="00FF6495" w:rsidP="00E6009E">
      <w:pPr>
        <w:ind w:firstLine="708"/>
        <w:contextualSpacing/>
        <w:jc w:val="both"/>
        <w:rPr>
          <w:b/>
          <w:bCs/>
          <w:i/>
          <w:lang w:val="uk-UA"/>
        </w:rPr>
      </w:pPr>
      <w:r w:rsidRPr="00603727">
        <w:rPr>
          <w:b/>
          <w:bCs/>
          <w:i/>
          <w:lang w:val="uk-UA"/>
        </w:rPr>
        <w:t>Захід 1</w:t>
      </w:r>
      <w:bookmarkStart w:id="0" w:name="_Hlk98912456"/>
      <w:r w:rsidRPr="00603727">
        <w:rPr>
          <w:b/>
          <w:bCs/>
          <w:i/>
          <w:lang w:val="uk-UA"/>
        </w:rPr>
        <w:t xml:space="preserve">. </w:t>
      </w:r>
      <w:bookmarkEnd w:id="0"/>
      <w:r w:rsidR="00C044FF" w:rsidRPr="00603727">
        <w:rPr>
          <w:b/>
          <w:bCs/>
          <w:i/>
          <w:lang w:val="uk-UA"/>
        </w:rPr>
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</w:r>
    </w:p>
    <w:p w:rsidR="00C044FF" w:rsidRPr="00603727" w:rsidRDefault="00C044FF" w:rsidP="00E6009E">
      <w:pPr>
        <w:ind w:firstLine="567"/>
        <w:contextualSpacing/>
        <w:jc w:val="both"/>
        <w:rPr>
          <w:bCs/>
          <w:lang w:val="uk-UA"/>
        </w:rPr>
      </w:pPr>
    </w:p>
    <w:p w:rsidR="00630F12" w:rsidRPr="00603727" w:rsidRDefault="00A77B09" w:rsidP="00E6009E">
      <w:pPr>
        <w:ind w:firstLine="567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>Санітарне утримання та благоустрій територій загального користування</w:t>
      </w:r>
      <w:r w:rsidRPr="00603727">
        <w:rPr>
          <w:b/>
          <w:bCs/>
          <w:i/>
          <w:lang w:val="uk-UA"/>
        </w:rPr>
        <w:t xml:space="preserve"> </w:t>
      </w:r>
      <w:r w:rsidRPr="00603727">
        <w:rPr>
          <w:bCs/>
          <w:lang w:val="uk-UA"/>
        </w:rPr>
        <w:t>поділяється на</w:t>
      </w:r>
      <w:r w:rsidR="00630F12" w:rsidRPr="00603727">
        <w:rPr>
          <w:bCs/>
          <w:lang w:val="uk-UA"/>
        </w:rPr>
        <w:t>:</w:t>
      </w:r>
    </w:p>
    <w:p w:rsidR="00A77B09" w:rsidRPr="00603727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603727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603727">
        <w:rPr>
          <w:bCs/>
          <w:lang w:val="uk-UA"/>
        </w:rPr>
        <w:t xml:space="preserve"> та</w:t>
      </w:r>
      <w:r w:rsidRPr="00603727">
        <w:rPr>
          <w:bCs/>
          <w:lang w:val="uk-UA"/>
        </w:rPr>
        <w:t xml:space="preserve"> зимового</w:t>
      </w:r>
      <w:r w:rsidR="00DB3399" w:rsidRPr="00603727">
        <w:rPr>
          <w:bCs/>
          <w:lang w:val="uk-UA"/>
        </w:rPr>
        <w:t xml:space="preserve"> </w:t>
      </w:r>
      <w:r w:rsidRPr="00603727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603727" w:rsidRDefault="00630F12" w:rsidP="00E6009E">
      <w:pPr>
        <w:ind w:firstLine="284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 xml:space="preserve">Для виконання програмного заходу </w:t>
      </w:r>
      <w:r w:rsidR="00EF4BA2" w:rsidRPr="00603727">
        <w:rPr>
          <w:bCs/>
          <w:lang w:val="uk-UA"/>
        </w:rPr>
        <w:t xml:space="preserve">№ 1 </w:t>
      </w:r>
      <w:r w:rsidRPr="00603727">
        <w:rPr>
          <w:bCs/>
          <w:lang w:val="uk-UA"/>
        </w:rPr>
        <w:t>комунальн</w:t>
      </w:r>
      <w:r w:rsidR="00EF4BA2" w:rsidRPr="00603727">
        <w:rPr>
          <w:bCs/>
          <w:lang w:val="uk-UA"/>
        </w:rPr>
        <w:t>ому</w:t>
      </w:r>
      <w:r w:rsidRPr="00603727">
        <w:rPr>
          <w:bCs/>
          <w:lang w:val="uk-UA"/>
        </w:rPr>
        <w:t xml:space="preserve"> підприємств</w:t>
      </w:r>
      <w:r w:rsidR="00EF4BA2" w:rsidRPr="00603727">
        <w:rPr>
          <w:bCs/>
          <w:lang w:val="uk-UA"/>
        </w:rPr>
        <w:t xml:space="preserve">у </w:t>
      </w:r>
      <w:r w:rsidRPr="00603727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603727">
        <w:rPr>
          <w:bCs/>
          <w:lang w:val="uk-UA"/>
        </w:rPr>
        <w:t>з</w:t>
      </w:r>
      <w:r w:rsidRPr="00603727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603727">
        <w:rPr>
          <w:bCs/>
          <w:lang w:val="uk-UA"/>
        </w:rPr>
        <w:t>на 202</w:t>
      </w:r>
      <w:r w:rsidR="00102480" w:rsidRPr="00603727">
        <w:rPr>
          <w:bCs/>
          <w:lang w:val="uk-UA"/>
        </w:rPr>
        <w:t>4</w:t>
      </w:r>
      <w:r w:rsidR="00BD77C5" w:rsidRPr="00603727">
        <w:rPr>
          <w:bCs/>
          <w:lang w:val="uk-UA"/>
        </w:rPr>
        <w:t xml:space="preserve"> рік </w:t>
      </w:r>
      <w:r w:rsidRPr="00603727">
        <w:rPr>
          <w:bCs/>
          <w:lang w:val="uk-UA"/>
        </w:rPr>
        <w:t>на суму</w:t>
      </w:r>
      <w:r w:rsidR="008A459C" w:rsidRPr="00603727">
        <w:rPr>
          <w:bCs/>
          <w:lang w:val="uk-UA"/>
        </w:rPr>
        <w:t xml:space="preserve"> </w:t>
      </w:r>
      <w:r w:rsidR="00102480" w:rsidRPr="00603727">
        <w:rPr>
          <w:bCs/>
          <w:lang w:val="uk-UA"/>
        </w:rPr>
        <w:t>14041000,00</w:t>
      </w:r>
      <w:r w:rsidR="008A459C" w:rsidRPr="00603727">
        <w:rPr>
          <w:bCs/>
          <w:lang w:val="uk-UA"/>
        </w:rPr>
        <w:t xml:space="preserve"> гривень. Фактично проведені видатки </w:t>
      </w:r>
      <w:r w:rsidR="00D217C5" w:rsidRPr="00603727">
        <w:rPr>
          <w:bCs/>
          <w:lang w:val="uk-UA"/>
        </w:rPr>
        <w:t xml:space="preserve">з місцевого бюджету </w:t>
      </w:r>
      <w:r w:rsidR="008A459C" w:rsidRPr="00603727">
        <w:rPr>
          <w:bCs/>
          <w:lang w:val="uk-UA"/>
        </w:rPr>
        <w:t xml:space="preserve">за </w:t>
      </w:r>
      <w:r w:rsidR="00E62F8B" w:rsidRPr="00603727">
        <w:rPr>
          <w:bCs/>
          <w:lang w:val="uk-UA"/>
        </w:rPr>
        <w:t xml:space="preserve">1 квартал </w:t>
      </w:r>
      <w:r w:rsidR="008A459C" w:rsidRPr="00603727">
        <w:rPr>
          <w:bCs/>
          <w:lang w:val="uk-UA"/>
        </w:rPr>
        <w:t>202</w:t>
      </w:r>
      <w:r w:rsidR="00102480" w:rsidRPr="00603727">
        <w:rPr>
          <w:bCs/>
          <w:lang w:val="uk-UA"/>
        </w:rPr>
        <w:t>4</w:t>
      </w:r>
      <w:r w:rsidR="008A459C" w:rsidRPr="00603727">
        <w:rPr>
          <w:bCs/>
          <w:lang w:val="uk-UA"/>
        </w:rPr>
        <w:t xml:space="preserve"> року на суму </w:t>
      </w:r>
      <w:r w:rsidR="00102480" w:rsidRPr="00603727">
        <w:rPr>
          <w:bCs/>
          <w:lang w:val="uk-UA"/>
        </w:rPr>
        <w:t>5922826,30</w:t>
      </w:r>
      <w:r w:rsidR="00624FA3" w:rsidRPr="00603727">
        <w:rPr>
          <w:bCs/>
          <w:lang w:val="uk-UA"/>
        </w:rPr>
        <w:t xml:space="preserve"> </w:t>
      </w:r>
      <w:r w:rsidR="008A459C" w:rsidRPr="00603727">
        <w:rPr>
          <w:bCs/>
          <w:lang w:val="uk-UA"/>
        </w:rPr>
        <w:t>грн. Відхилення –</w:t>
      </w:r>
      <w:r w:rsidR="00886001" w:rsidRPr="00603727">
        <w:rPr>
          <w:bCs/>
          <w:lang w:val="uk-UA"/>
        </w:rPr>
        <w:t xml:space="preserve"> </w:t>
      </w:r>
      <w:r w:rsidR="00102480" w:rsidRPr="00603727">
        <w:rPr>
          <w:bCs/>
          <w:lang w:val="uk-UA"/>
        </w:rPr>
        <w:t>8118173,70</w:t>
      </w:r>
      <w:r w:rsidR="008A459C" w:rsidRPr="00603727">
        <w:rPr>
          <w:bCs/>
          <w:lang w:val="uk-UA"/>
        </w:rPr>
        <w:t xml:space="preserve"> грн.</w:t>
      </w:r>
    </w:p>
    <w:p w:rsidR="00102480" w:rsidRPr="00603727" w:rsidRDefault="00102480" w:rsidP="00E6009E">
      <w:pPr>
        <w:contextualSpacing/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559"/>
        <w:gridCol w:w="1560"/>
        <w:gridCol w:w="1665"/>
      </w:tblGrid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03727">
              <w:rPr>
                <w:bCs/>
                <w:sz w:val="22"/>
                <w:szCs w:val="22"/>
                <w:lang w:val="uk-UA"/>
              </w:rPr>
              <w:t>Виділено бюджетних коштів на 2024 рік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03727">
              <w:rPr>
                <w:bCs/>
                <w:sz w:val="22"/>
                <w:szCs w:val="22"/>
                <w:lang w:val="uk-UA"/>
              </w:rPr>
              <w:t>Касові видатки за 1 квартал 2024 р.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603727">
              <w:rPr>
                <w:bCs/>
                <w:sz w:val="22"/>
                <w:szCs w:val="22"/>
                <w:lang w:val="uk-UA"/>
              </w:rPr>
              <w:t>Економія / перевитрата з початку року (+/-)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оплату праці та нарахування на заробітну плату, в тому числі: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8308213,00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2612506,30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5695706,70</w:t>
            </w:r>
          </w:p>
        </w:tc>
      </w:tr>
      <w:tr w:rsidR="00102480" w:rsidRPr="00603727" w:rsidTr="007F3CE1">
        <w:trPr>
          <w:trHeight w:val="255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Ручне прибирання територій парків і скверів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1763560,00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600546,79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1163013,21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Ручне прибирання територій вулиць та міського лісу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4416182,00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1490464,37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2925717,63</w:t>
            </w:r>
          </w:p>
        </w:tc>
      </w:tr>
      <w:tr w:rsidR="00102480" w:rsidRPr="00603727" w:rsidTr="007F3CE1">
        <w:trPr>
          <w:trHeight w:val="255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Догляд за міськими клумбами і озеленення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852496,00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70173,55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782322,45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Щоденне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529100,00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142252,62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386847,38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Літнє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404692,00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404692,00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603727">
              <w:rPr>
                <w:i/>
                <w:iCs/>
                <w:sz w:val="22"/>
                <w:szCs w:val="22"/>
                <w:lang w:val="uk-UA"/>
              </w:rPr>
              <w:t>Зимове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342183,00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309068,97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33114,03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спеціального одягу, спецвзуття та засобів індивідуального захисту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77760,00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122240,00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інвент</w:t>
            </w:r>
            <w:r w:rsidR="00603727">
              <w:rPr>
                <w:sz w:val="22"/>
                <w:szCs w:val="22"/>
                <w:lang w:val="uk-UA"/>
              </w:rPr>
              <w:t>арю</w:t>
            </w:r>
            <w:r w:rsidRPr="00603727">
              <w:rPr>
                <w:sz w:val="22"/>
                <w:szCs w:val="22"/>
                <w:lang w:val="uk-UA"/>
              </w:rPr>
              <w:t xml:space="preserve"> та інструментів для благоустрою території (робочого інвентарю)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107070,00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92930,00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 миючих та дезінфікуючих засобів (мила)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11960,00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11943,60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16,40</w:t>
            </w:r>
          </w:p>
        </w:tc>
      </w:tr>
      <w:tr w:rsidR="00102480" w:rsidRPr="00603727" w:rsidTr="007F3CE1">
        <w:trPr>
          <w:trHeight w:val="255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пального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3000000,00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2938425,00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61575,00</w:t>
            </w:r>
          </w:p>
        </w:tc>
      </w:tr>
      <w:tr w:rsidR="00102480" w:rsidRPr="00603727" w:rsidTr="007F3CE1">
        <w:trPr>
          <w:trHeight w:val="255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мастил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250000,00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250000,00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410100,00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410100,00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359900,00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359900,00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lastRenderedPageBreak/>
              <w:t xml:space="preserve">Витрати на придбання декоративних </w:t>
            </w:r>
            <w:proofErr w:type="spellStart"/>
            <w:r w:rsidRPr="00603727">
              <w:rPr>
                <w:sz w:val="22"/>
                <w:szCs w:val="22"/>
                <w:lang w:val="uk-UA"/>
              </w:rPr>
              <w:t>мульчуючих</w:t>
            </w:r>
            <w:proofErr w:type="spellEnd"/>
            <w:r w:rsidRPr="00603727">
              <w:rPr>
                <w:sz w:val="22"/>
                <w:szCs w:val="22"/>
                <w:lang w:val="uk-UA"/>
              </w:rPr>
              <w:t xml:space="preserve"> матеріалів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140000,00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140000,00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58000,00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22370,00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35630,00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придбання запчастин та матеріалів для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755000,00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152751,40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602248,60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теплової енергії)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46650,00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46650,00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електроенергії)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</w:tr>
      <w:tr w:rsidR="00102480" w:rsidRPr="00603727" w:rsidTr="007F3CE1">
        <w:trPr>
          <w:trHeight w:val="102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Оплата експлуатаційних послуг, пов’язаних з утриманням будинків і споруд та прибудинкових територій  (послуги з обслуговування нежитлового приміщення)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2557,00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2557,00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оплату комунальних послуг (послуги холодного водопостачання)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26000,00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26000,00</w:t>
            </w:r>
          </w:p>
        </w:tc>
      </w:tr>
      <w:tr w:rsidR="00102480" w:rsidRPr="00603727" w:rsidTr="007F3CE1">
        <w:trPr>
          <w:trHeight w:val="51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сплату екологічного податку (збір за розміщення відходів)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</w:tr>
      <w:tr w:rsidR="00102480" w:rsidRPr="00603727" w:rsidTr="007F3CE1">
        <w:trPr>
          <w:trHeight w:val="78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Витрати на оплату послуг з технічного обслуговування і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272620,00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272620,00</w:t>
            </w:r>
          </w:p>
        </w:tc>
      </w:tr>
      <w:tr w:rsidR="00102480" w:rsidRPr="00603727" w:rsidTr="007F3CE1">
        <w:trPr>
          <w:trHeight w:val="270"/>
        </w:trPr>
        <w:tc>
          <w:tcPr>
            <w:tcW w:w="4786" w:type="dxa"/>
            <w:shd w:val="clear" w:color="auto" w:fill="auto"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 xml:space="preserve">Всього по заходу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14041000,00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5922826,30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603727" w:rsidRDefault="00102480" w:rsidP="00E6009E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03727">
              <w:rPr>
                <w:sz w:val="22"/>
                <w:szCs w:val="22"/>
                <w:lang w:val="uk-UA"/>
              </w:rPr>
              <w:t>8118173,70</w:t>
            </w:r>
          </w:p>
        </w:tc>
      </w:tr>
    </w:tbl>
    <w:p w:rsidR="000867E6" w:rsidRPr="00603727" w:rsidRDefault="000867E6" w:rsidP="00E6009E">
      <w:pPr>
        <w:contextualSpacing/>
        <w:jc w:val="both"/>
        <w:rPr>
          <w:bCs/>
          <w:lang w:val="uk-UA"/>
        </w:rPr>
      </w:pPr>
    </w:p>
    <w:p w:rsidR="002A7932" w:rsidRPr="00603727" w:rsidRDefault="002A7932" w:rsidP="00E6009E">
      <w:pPr>
        <w:ind w:firstLine="284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>Планова с</w:t>
      </w:r>
      <w:r w:rsidR="00C675F9" w:rsidRPr="00603727">
        <w:rPr>
          <w:bCs/>
          <w:lang w:val="uk-UA"/>
        </w:rPr>
        <w:t xml:space="preserve">ередньомісячна чисельність працівників, задіяних до виконання заходу № 1 Програми, становить </w:t>
      </w:r>
      <w:r w:rsidR="00BA27CA" w:rsidRPr="00603727">
        <w:rPr>
          <w:bCs/>
          <w:lang w:val="uk-UA"/>
        </w:rPr>
        <w:t>82</w:t>
      </w:r>
      <w:r w:rsidR="00C675F9" w:rsidRPr="00603727">
        <w:rPr>
          <w:bCs/>
          <w:lang w:val="uk-UA"/>
        </w:rPr>
        <w:t xml:space="preserve"> </w:t>
      </w:r>
      <w:r w:rsidR="009D5EC8" w:rsidRPr="00603727">
        <w:rPr>
          <w:bCs/>
          <w:lang w:val="uk-UA"/>
        </w:rPr>
        <w:t>осіб</w:t>
      </w:r>
      <w:r w:rsidR="00C675F9" w:rsidRPr="00603727">
        <w:rPr>
          <w:bCs/>
          <w:lang w:val="uk-UA"/>
        </w:rPr>
        <w:t xml:space="preserve"> (січень </w:t>
      </w:r>
      <w:r w:rsidR="00D149B1" w:rsidRPr="00603727">
        <w:rPr>
          <w:bCs/>
          <w:lang w:val="uk-UA"/>
        </w:rPr>
        <w:t xml:space="preserve">– </w:t>
      </w:r>
      <w:r w:rsidR="00BA27CA" w:rsidRPr="00603727">
        <w:rPr>
          <w:bCs/>
          <w:lang w:val="uk-UA"/>
        </w:rPr>
        <w:t xml:space="preserve">81, </w:t>
      </w:r>
      <w:r w:rsidR="00D149B1" w:rsidRPr="00603727">
        <w:rPr>
          <w:bCs/>
          <w:lang w:val="uk-UA"/>
        </w:rPr>
        <w:t>лютий</w:t>
      </w:r>
      <w:r w:rsidR="00BA27CA" w:rsidRPr="00603727">
        <w:rPr>
          <w:bCs/>
          <w:lang w:val="uk-UA"/>
        </w:rPr>
        <w:t xml:space="preserve"> </w:t>
      </w:r>
      <w:proofErr w:type="spellStart"/>
      <w:r w:rsidR="00BA27CA" w:rsidRPr="00603727">
        <w:rPr>
          <w:bCs/>
          <w:lang w:val="uk-UA"/>
        </w:rPr>
        <w:t>-березень</w:t>
      </w:r>
      <w:proofErr w:type="spellEnd"/>
      <w:r w:rsidR="00BA27CA" w:rsidRPr="00603727">
        <w:rPr>
          <w:bCs/>
          <w:lang w:val="uk-UA"/>
        </w:rPr>
        <w:t xml:space="preserve"> - </w:t>
      </w:r>
      <w:r w:rsidR="00C675F9" w:rsidRPr="00603727">
        <w:rPr>
          <w:bCs/>
          <w:lang w:val="uk-UA"/>
        </w:rPr>
        <w:t>8</w:t>
      </w:r>
      <w:r w:rsidR="000867E6" w:rsidRPr="00603727">
        <w:rPr>
          <w:bCs/>
          <w:lang w:val="uk-UA"/>
        </w:rPr>
        <w:t>2</w:t>
      </w:r>
      <w:r w:rsidR="00C675F9" w:rsidRPr="00603727">
        <w:rPr>
          <w:bCs/>
          <w:lang w:val="uk-UA"/>
        </w:rPr>
        <w:t xml:space="preserve">). </w:t>
      </w:r>
    </w:p>
    <w:p w:rsidR="00603727" w:rsidRDefault="00C675F9" w:rsidP="00E6009E">
      <w:pPr>
        <w:ind w:firstLine="284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 xml:space="preserve">Фактична середньомісячна кількість залучених до виконання робіт працівників </w:t>
      </w:r>
      <w:r w:rsidR="00DB6ACB" w:rsidRPr="00603727">
        <w:rPr>
          <w:bCs/>
          <w:lang w:val="uk-UA"/>
        </w:rPr>
        <w:t xml:space="preserve">за </w:t>
      </w:r>
      <w:r w:rsidR="009D5EC8" w:rsidRPr="00603727">
        <w:rPr>
          <w:bCs/>
          <w:lang w:val="uk-UA"/>
        </w:rPr>
        <w:t>1 квартал 202</w:t>
      </w:r>
      <w:r w:rsidR="00BA27CA" w:rsidRPr="00603727">
        <w:rPr>
          <w:bCs/>
          <w:lang w:val="uk-UA"/>
        </w:rPr>
        <w:t>4</w:t>
      </w:r>
      <w:r w:rsidR="00DB6ACB" w:rsidRPr="00603727">
        <w:rPr>
          <w:bCs/>
          <w:lang w:val="uk-UA"/>
        </w:rPr>
        <w:t xml:space="preserve"> р. </w:t>
      </w:r>
      <w:r w:rsidR="002A7932" w:rsidRPr="00603727">
        <w:rPr>
          <w:bCs/>
          <w:lang w:val="uk-UA"/>
        </w:rPr>
        <w:t>–</w:t>
      </w:r>
      <w:r w:rsidRPr="00603727">
        <w:rPr>
          <w:bCs/>
          <w:lang w:val="uk-UA"/>
        </w:rPr>
        <w:t xml:space="preserve"> </w:t>
      </w:r>
      <w:r w:rsidR="00603727" w:rsidRPr="00603727">
        <w:rPr>
          <w:bCs/>
          <w:lang w:val="uk-UA"/>
        </w:rPr>
        <w:t>62</w:t>
      </w:r>
      <w:r w:rsidR="00DB6ACB" w:rsidRPr="00603727">
        <w:rPr>
          <w:bCs/>
          <w:lang w:val="uk-UA"/>
        </w:rPr>
        <w:t xml:space="preserve"> ос</w:t>
      </w:r>
      <w:r w:rsidR="002A7932" w:rsidRPr="00603727">
        <w:rPr>
          <w:bCs/>
          <w:lang w:val="uk-UA"/>
        </w:rPr>
        <w:t>.</w:t>
      </w:r>
      <w:r w:rsidR="009D5EC8" w:rsidRPr="00603727">
        <w:rPr>
          <w:bCs/>
          <w:lang w:val="uk-UA"/>
        </w:rPr>
        <w:t xml:space="preserve"> (січень – 6</w:t>
      </w:r>
      <w:r w:rsidR="00BA27CA" w:rsidRPr="00603727">
        <w:rPr>
          <w:bCs/>
          <w:lang w:val="uk-UA"/>
        </w:rPr>
        <w:t>5</w:t>
      </w:r>
      <w:r w:rsidR="009D5EC8" w:rsidRPr="00603727">
        <w:rPr>
          <w:bCs/>
          <w:lang w:val="uk-UA"/>
        </w:rPr>
        <w:t>, лютий – 6</w:t>
      </w:r>
      <w:r w:rsidR="00BA27CA" w:rsidRPr="00603727">
        <w:rPr>
          <w:bCs/>
          <w:lang w:val="uk-UA"/>
        </w:rPr>
        <w:t>1</w:t>
      </w:r>
      <w:r w:rsidR="009D5EC8" w:rsidRPr="00603727">
        <w:rPr>
          <w:bCs/>
          <w:lang w:val="uk-UA"/>
        </w:rPr>
        <w:t xml:space="preserve">, березень – </w:t>
      </w:r>
      <w:r w:rsidR="00603727" w:rsidRPr="00603727">
        <w:rPr>
          <w:bCs/>
          <w:lang w:val="uk-UA"/>
        </w:rPr>
        <w:t>59</w:t>
      </w:r>
      <w:r w:rsidR="009D5EC8" w:rsidRPr="00603727">
        <w:rPr>
          <w:bCs/>
          <w:lang w:val="uk-UA"/>
        </w:rPr>
        <w:t>).</w:t>
      </w:r>
      <w:r w:rsidR="00F519D4" w:rsidRPr="00603727">
        <w:rPr>
          <w:bCs/>
          <w:lang w:val="uk-UA"/>
        </w:rPr>
        <w:t xml:space="preserve"> Відхилення  в зв’язку з неповною комплектацією робочих місць –</w:t>
      </w:r>
      <w:r w:rsidR="00BA27CA" w:rsidRPr="00603727">
        <w:rPr>
          <w:bCs/>
          <w:lang w:val="uk-UA"/>
        </w:rPr>
        <w:t xml:space="preserve"> </w:t>
      </w:r>
      <w:r w:rsidR="00603727" w:rsidRPr="00603727">
        <w:rPr>
          <w:bCs/>
          <w:lang w:val="uk-UA"/>
        </w:rPr>
        <w:t>20</w:t>
      </w:r>
      <w:r w:rsidR="00F519D4" w:rsidRPr="00603727">
        <w:rPr>
          <w:bCs/>
          <w:lang w:val="uk-UA"/>
        </w:rPr>
        <w:t xml:space="preserve"> </w:t>
      </w:r>
      <w:r w:rsidR="009D5EC8" w:rsidRPr="00603727">
        <w:rPr>
          <w:bCs/>
          <w:lang w:val="uk-UA"/>
        </w:rPr>
        <w:t>осіб</w:t>
      </w:r>
      <w:r w:rsidR="00F519D4" w:rsidRPr="00603727">
        <w:rPr>
          <w:bCs/>
          <w:lang w:val="uk-UA"/>
        </w:rPr>
        <w:t>.</w:t>
      </w:r>
      <w:bookmarkStart w:id="1" w:name="_Hlk98912241"/>
    </w:p>
    <w:p w:rsidR="00BA27CA" w:rsidRPr="00603727" w:rsidRDefault="00291CDD" w:rsidP="00E6009E">
      <w:pPr>
        <w:ind w:firstLine="284"/>
        <w:contextualSpacing/>
        <w:jc w:val="both"/>
        <w:rPr>
          <w:bCs/>
          <w:lang w:val="uk-UA"/>
        </w:rPr>
      </w:pPr>
      <w:r w:rsidRPr="00603727">
        <w:rPr>
          <w:lang w:val="uk-UA"/>
        </w:rPr>
        <w:t xml:space="preserve">В звітному періоді </w:t>
      </w:r>
      <w:r w:rsidR="00BA27CA" w:rsidRPr="00603727">
        <w:rPr>
          <w:lang w:val="uk-UA"/>
        </w:rPr>
        <w:t>за рахунок бюджетних коштів було придбано наступні матеріали, обладнання та інвентар</w:t>
      </w:r>
      <w:r w:rsidRPr="00603727">
        <w:rPr>
          <w:lang w:val="uk-UA"/>
        </w:rPr>
        <w:t xml:space="preserve"> для благоустрою територій загального користування</w:t>
      </w:r>
      <w:r w:rsidR="00BA27CA" w:rsidRPr="00603727">
        <w:rPr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4"/>
        <w:gridCol w:w="3981"/>
        <w:gridCol w:w="709"/>
        <w:gridCol w:w="850"/>
        <w:gridCol w:w="1344"/>
        <w:gridCol w:w="1172"/>
      </w:tblGrid>
      <w:tr w:rsidR="00BA27CA" w:rsidRPr="00603727" w:rsidTr="007F3CE1">
        <w:trPr>
          <w:trHeight w:val="20"/>
        </w:trPr>
        <w:tc>
          <w:tcPr>
            <w:tcW w:w="1514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Стаття витрат</w:t>
            </w:r>
          </w:p>
        </w:tc>
        <w:tc>
          <w:tcPr>
            <w:tcW w:w="3981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709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603727">
              <w:rPr>
                <w:b/>
                <w:bCs/>
                <w:sz w:val="20"/>
                <w:szCs w:val="20"/>
                <w:lang w:val="uk-UA"/>
              </w:rPr>
              <w:t>вим</w:t>
            </w:r>
            <w:proofErr w:type="spellEnd"/>
            <w:r w:rsidRPr="00603727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b/>
                <w:bCs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344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Ціна за од. з ПДВ, грн.</w:t>
            </w:r>
            <w:r w:rsidR="00A84926" w:rsidRPr="00603727">
              <w:rPr>
                <w:b/>
                <w:bCs/>
                <w:sz w:val="20"/>
                <w:szCs w:val="20"/>
                <w:lang w:val="uk-UA"/>
              </w:rPr>
              <w:t>/од.</w:t>
            </w:r>
          </w:p>
        </w:tc>
        <w:tc>
          <w:tcPr>
            <w:tcW w:w="1172" w:type="dxa"/>
            <w:shd w:val="clear" w:color="auto" w:fill="auto"/>
            <w:hideMark/>
          </w:tcPr>
          <w:p w:rsidR="00BA27CA" w:rsidRPr="00603727" w:rsidRDefault="00BA27CA" w:rsidP="00E6009E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Сума з ПДВ, грн.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спецодягу</w:t>
            </w:r>
          </w:p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Світловідбивний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жилет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9300,00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Куртка робоча утеплена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1650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24750,00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Дощовик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18550,00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12960,00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12200,00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77760,00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пального</w:t>
            </w:r>
          </w:p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Газ скраплений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27,00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324000,00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Дизпаливо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50490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48,14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2430427,05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Бензин А-95-о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4000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46,00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183997,95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2938425,00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мила</w:t>
            </w:r>
          </w:p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444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26,9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11943,60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11943,60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робочого інвентарю</w:t>
            </w:r>
          </w:p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Оприскувач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Шланг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2400,00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Відро 12 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4505,00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Мітла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15480,00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Ковш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для суміші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Сапа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255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6375,00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Граблі віялові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16250,00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Граблі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290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3770,00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Лопата Американка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340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9520,00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Лопата снігова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11760,00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Лопата совкова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14850,00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Сокира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640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6400,00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Секатор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Пилка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садовв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Пилка будівельна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540,00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Вила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4290,00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Молоток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Набір ключів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Ящик для інструменту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590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590,00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107070,00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мінеральних добрив та  засобів захисту рослин</w:t>
            </w:r>
          </w:p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Актара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25WG, пакетик 6 г, 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Ампліго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пакетик 4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Вертімек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018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ЕС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пакетик 10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Проклейм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SG,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Сингента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), 4 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Скор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250ЕС, пакетик 2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Хорус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75 WG пакетик 3 г,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240,00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Тіовіт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Джет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40 г,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270,00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Енжио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3,6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Актелик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6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Медян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Екстра, 20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Фундазол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, 200 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Максим,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100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Фалькон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10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Топсин-М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, 10 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280,00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Світч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10 г виробник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Гольф, 3 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Федерал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Раундап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Макс, 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7569F4" w:rsidRPr="00603727" w:rsidTr="007F3CE1">
        <w:trPr>
          <w:trHeight w:val="371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Прилипач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, 10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22370,00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 w:val="restart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Витрати на придбання запчастин до транспортних засобів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Шина 260R508 (9.00R20) TQ616 16сл 144/142К (TORQUE)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7400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44400,00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Шина 240R508 (8.25R20) TQ702 16сл 139/137 (TORQUE)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Універс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6100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36600,00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Шина 240R508 (8.250R20) Y-2/BC-57 12сл 130/128К (БЦШЗ)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6960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13920,00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Камера АК 9.00-16 (240-406)ГК-115(БЦШЗ)гума Укр.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4560,00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Лист 1-ої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передн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. Ресори з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шарнром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L=1850МАЗ-4370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про-во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P.R.O)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15056,02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Лист2-ої задньої ресори L=1620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МАЗ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-4370 MR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3911,00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7822,01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Лист 1-оїзадньої ресори ЗІЛ -130 ГКБ-817.8325 ТНМ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1727,30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3454,61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задня без гайок (М22х1.5: L=480)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ЗіЛ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-130, ГКБ-8352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вир-во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Львів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371,90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1487,62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Гайка М22х1.5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ресори задньої КАМАЗ (8т.)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вир-во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Львів)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46,80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374,40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. Задня без гайок (М20х1.5, L=425) ГАЗ-53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вир-во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Львів)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189,39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378,78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Шарнір ресори передньої, задньої (бочонок)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МАЗ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-4370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213,10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852,38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Хрестовина валу кард.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задн.моста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в зб. (39х118мм) КАМАЗ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Зіл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438,70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1754,78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Хрестовина карданного валу (35х98мм) ГАЗ-53-3307 МТЗ-3522.5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340,50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2043,00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Хрестовина валу кард. Пром. Моста в зб. (50х135 мм)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762,60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1525,20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Вал карданний ПВМ в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сб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. МТЗ-82, 892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вир-во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Китай)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1152,20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1152,20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 xml:space="preserve">Хрестовина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карданоговалу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зб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(30х88мм) МТЗ-80-2022, ГАЗ-24 УАЗ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225,30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2703,60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Шпилька колеса М18х1.5х40 КАМАЗ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1000,08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Притиск колеса заднього КАМАЗ 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про-во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139,20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1392,00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Насос шестеренний НШ-50М-ЗЛ квадратний лівий (16МПа)(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Гідросила</w:t>
            </w:r>
            <w:proofErr w:type="spellEnd"/>
            <w:r w:rsidRPr="00603727">
              <w:rPr>
                <w:sz w:val="20"/>
                <w:szCs w:val="20"/>
                <w:lang w:val="uk-UA"/>
              </w:rPr>
              <w:t>)</w:t>
            </w:r>
            <w:proofErr w:type="spellStart"/>
            <w:r w:rsidRPr="00603727">
              <w:rPr>
                <w:sz w:val="20"/>
                <w:szCs w:val="20"/>
                <w:lang w:val="uk-UA"/>
              </w:rPr>
              <w:t>-Україна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2918,00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8754,01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Гідроциліндр повороту коліс (без пальців, шток зварний) МТЗ-82-892 (ВЗТА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0372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3520,70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3520,70</w:t>
            </w:r>
          </w:p>
        </w:tc>
      </w:tr>
      <w:tr w:rsidR="007569F4" w:rsidRPr="00603727" w:rsidTr="007F3CE1">
        <w:trPr>
          <w:trHeight w:val="20"/>
        </w:trPr>
        <w:tc>
          <w:tcPr>
            <w:tcW w:w="1514" w:type="dxa"/>
            <w:vMerge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Разом: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7569F4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152751,40</w:t>
            </w:r>
          </w:p>
        </w:tc>
      </w:tr>
      <w:tr w:rsidR="00BA27CA" w:rsidRPr="00603727" w:rsidTr="007F3CE1">
        <w:trPr>
          <w:trHeight w:val="20"/>
        </w:trPr>
        <w:tc>
          <w:tcPr>
            <w:tcW w:w="1514" w:type="dxa"/>
            <w:shd w:val="clear" w:color="auto" w:fill="auto"/>
            <w:noWrap/>
            <w:hideMark/>
          </w:tcPr>
          <w:p w:rsidR="00BA27CA" w:rsidRPr="00603727" w:rsidRDefault="00BA27CA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981" w:type="dxa"/>
            <w:shd w:val="clear" w:color="auto" w:fill="auto"/>
            <w:noWrap/>
            <w:hideMark/>
          </w:tcPr>
          <w:p w:rsidR="00BA27CA" w:rsidRPr="00603727" w:rsidRDefault="007569F4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27CA" w:rsidRPr="00603727" w:rsidRDefault="00BA27CA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A27CA" w:rsidRPr="00603727" w:rsidRDefault="00BA27CA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27CA" w:rsidRPr="00603727" w:rsidRDefault="00BA27CA" w:rsidP="00E6009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0372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A27CA" w:rsidRPr="00603727" w:rsidRDefault="00BA27CA" w:rsidP="00E6009E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603727">
              <w:rPr>
                <w:b/>
                <w:bCs/>
                <w:sz w:val="20"/>
                <w:szCs w:val="20"/>
                <w:lang w:val="uk-UA"/>
              </w:rPr>
              <w:t>3310320,00</w:t>
            </w:r>
          </w:p>
        </w:tc>
      </w:tr>
      <w:bookmarkEnd w:id="1"/>
    </w:tbl>
    <w:p w:rsidR="00E9207B" w:rsidRPr="00603727" w:rsidRDefault="00E9207B" w:rsidP="00E6009E">
      <w:pPr>
        <w:ind w:firstLine="567"/>
        <w:contextualSpacing/>
        <w:jc w:val="both"/>
        <w:rPr>
          <w:lang w:val="uk-UA"/>
        </w:rPr>
      </w:pPr>
    </w:p>
    <w:p w:rsidR="00A84926" w:rsidRPr="00603727" w:rsidRDefault="0075469C" w:rsidP="00E6009E">
      <w:pPr>
        <w:ind w:firstLine="567"/>
        <w:contextualSpacing/>
        <w:jc w:val="both"/>
        <w:rPr>
          <w:lang w:val="uk-UA"/>
        </w:rPr>
      </w:pPr>
      <w:r w:rsidRPr="00603727">
        <w:rPr>
          <w:lang w:val="uk-UA"/>
        </w:rPr>
        <w:t>Загальна площ</w:t>
      </w:r>
      <w:r w:rsidR="00066458" w:rsidRPr="00603727">
        <w:rPr>
          <w:lang w:val="uk-UA"/>
        </w:rPr>
        <w:t xml:space="preserve">а </w:t>
      </w:r>
      <w:r w:rsidR="005E019D" w:rsidRPr="00603727">
        <w:rPr>
          <w:lang w:val="uk-UA"/>
        </w:rPr>
        <w:t>територій загального користування</w:t>
      </w:r>
      <w:r w:rsidR="00066458" w:rsidRPr="00603727">
        <w:rPr>
          <w:lang w:val="uk-UA"/>
        </w:rPr>
        <w:t xml:space="preserve">, яку утримували </w:t>
      </w:r>
      <w:r w:rsidR="00A84926" w:rsidRPr="00603727">
        <w:rPr>
          <w:lang w:val="uk-UA"/>
        </w:rPr>
        <w:t xml:space="preserve">ручним способом </w:t>
      </w:r>
      <w:r w:rsidR="00066458" w:rsidRPr="00603727">
        <w:rPr>
          <w:lang w:val="uk-UA"/>
        </w:rPr>
        <w:t>в належному санітарному ста</w:t>
      </w:r>
      <w:r w:rsidR="00892B46" w:rsidRPr="00603727">
        <w:rPr>
          <w:lang w:val="uk-UA"/>
        </w:rPr>
        <w:t xml:space="preserve">ні  працівники </w:t>
      </w:r>
      <w:proofErr w:type="spellStart"/>
      <w:r w:rsidR="00892B46" w:rsidRPr="00603727">
        <w:rPr>
          <w:lang w:val="uk-UA"/>
        </w:rPr>
        <w:t>КП</w:t>
      </w:r>
      <w:proofErr w:type="spellEnd"/>
      <w:r w:rsidR="00892B46" w:rsidRPr="00603727">
        <w:rPr>
          <w:lang w:val="uk-UA"/>
        </w:rPr>
        <w:t xml:space="preserve"> </w:t>
      </w:r>
      <w:r w:rsidR="00CA4192" w:rsidRPr="00603727">
        <w:rPr>
          <w:lang w:val="uk-UA"/>
        </w:rPr>
        <w:t>«</w:t>
      </w:r>
      <w:r w:rsidR="00892B46" w:rsidRPr="00603727">
        <w:rPr>
          <w:lang w:val="uk-UA"/>
        </w:rPr>
        <w:t>ВУКГ</w:t>
      </w:r>
      <w:r w:rsidR="00CA4192" w:rsidRPr="00603727">
        <w:rPr>
          <w:lang w:val="uk-UA"/>
        </w:rPr>
        <w:t>»</w:t>
      </w:r>
      <w:r w:rsidR="00892B46" w:rsidRPr="00603727">
        <w:rPr>
          <w:lang w:val="uk-UA"/>
        </w:rPr>
        <w:t xml:space="preserve"> протягом</w:t>
      </w:r>
      <w:r w:rsidR="00066458" w:rsidRPr="00603727">
        <w:rPr>
          <w:lang w:val="uk-UA"/>
        </w:rPr>
        <w:t xml:space="preserve"> </w:t>
      </w:r>
      <w:r w:rsidR="00C0525C" w:rsidRPr="00603727">
        <w:rPr>
          <w:lang w:val="uk-UA"/>
        </w:rPr>
        <w:t xml:space="preserve">1 кварталу </w:t>
      </w:r>
      <w:r w:rsidR="005E019D" w:rsidRPr="00603727">
        <w:rPr>
          <w:lang w:val="uk-UA"/>
        </w:rPr>
        <w:t>202</w:t>
      </w:r>
      <w:r w:rsidR="00A84926" w:rsidRPr="00603727">
        <w:rPr>
          <w:lang w:val="uk-UA"/>
        </w:rPr>
        <w:t>4</w:t>
      </w:r>
      <w:r w:rsidR="005E019D" w:rsidRPr="00603727">
        <w:rPr>
          <w:lang w:val="uk-UA"/>
        </w:rPr>
        <w:t xml:space="preserve"> р.</w:t>
      </w:r>
      <w:r w:rsidR="00066458" w:rsidRPr="00603727">
        <w:rPr>
          <w:lang w:val="uk-UA"/>
        </w:rPr>
        <w:t xml:space="preserve"> склала </w:t>
      </w:r>
      <w:r w:rsidR="00892B46" w:rsidRPr="00603727">
        <w:rPr>
          <w:lang w:val="uk-UA"/>
        </w:rPr>
        <w:t>–</w:t>
      </w:r>
      <w:r w:rsidR="00066458" w:rsidRPr="00603727">
        <w:rPr>
          <w:lang w:val="uk-UA"/>
        </w:rPr>
        <w:t xml:space="preserve"> </w:t>
      </w:r>
      <w:r w:rsidR="00A84926" w:rsidRPr="00603727">
        <w:rPr>
          <w:lang w:val="uk-UA"/>
        </w:rPr>
        <w:t>564298,31</w:t>
      </w:r>
      <w:r w:rsidR="002D2BE9" w:rsidRPr="00603727">
        <w:rPr>
          <w:lang w:val="uk-UA"/>
        </w:rPr>
        <w:t xml:space="preserve"> </w:t>
      </w:r>
      <w:proofErr w:type="spellStart"/>
      <w:r w:rsidR="00A84926" w:rsidRPr="00603727">
        <w:rPr>
          <w:lang w:val="uk-UA"/>
        </w:rPr>
        <w:t>кв.м</w:t>
      </w:r>
      <w:proofErr w:type="spellEnd"/>
      <w:r w:rsidR="00A84926" w:rsidRPr="00603727">
        <w:rPr>
          <w:lang w:val="uk-UA"/>
        </w:rPr>
        <w:t>.</w:t>
      </w:r>
      <w:r w:rsidR="002D2BE9" w:rsidRPr="00603727">
        <w:rPr>
          <w:lang w:val="uk-UA"/>
        </w:rPr>
        <w:t>, в т.</w:t>
      </w:r>
      <w:r w:rsidR="00F97616" w:rsidRPr="00603727">
        <w:rPr>
          <w:lang w:val="uk-UA"/>
        </w:rPr>
        <w:t xml:space="preserve"> </w:t>
      </w:r>
      <w:r w:rsidR="002D2BE9" w:rsidRPr="00603727">
        <w:rPr>
          <w:lang w:val="uk-UA"/>
        </w:rPr>
        <w:t xml:space="preserve">ч. </w:t>
      </w:r>
      <w:r w:rsidR="00800BFE" w:rsidRPr="00603727">
        <w:rPr>
          <w:lang w:val="uk-UA"/>
        </w:rPr>
        <w:t>п</w:t>
      </w:r>
      <w:r w:rsidR="002D2BE9" w:rsidRPr="00603727">
        <w:rPr>
          <w:lang w:val="uk-UA"/>
        </w:rPr>
        <w:t>арк</w:t>
      </w:r>
      <w:r w:rsidR="00800BFE" w:rsidRPr="00603727">
        <w:rPr>
          <w:lang w:val="uk-UA"/>
        </w:rPr>
        <w:t>ів і скверів, міського  лісу</w:t>
      </w:r>
      <w:r w:rsidR="0022750D" w:rsidRPr="00603727">
        <w:rPr>
          <w:lang w:val="uk-UA"/>
        </w:rPr>
        <w:t xml:space="preserve">. </w:t>
      </w:r>
      <w:r w:rsidR="00800BFE" w:rsidRPr="00603727">
        <w:rPr>
          <w:lang w:val="uk-UA"/>
        </w:rPr>
        <w:t xml:space="preserve">Також забезпечувалося прибирання 70 автобусних зупинок. </w:t>
      </w:r>
    </w:p>
    <w:p w:rsidR="00A84926" w:rsidRPr="00603727" w:rsidRDefault="00A84926" w:rsidP="00E6009E">
      <w:pPr>
        <w:ind w:firstLine="567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Загальна площа територій, яка утримувалася механізовано, склала 966163 </w:t>
      </w:r>
      <w:proofErr w:type="spellStart"/>
      <w:r w:rsidRPr="00603727">
        <w:rPr>
          <w:lang w:val="uk-UA"/>
        </w:rPr>
        <w:t>кв.м</w:t>
      </w:r>
      <w:proofErr w:type="spellEnd"/>
      <w:r w:rsidRPr="00603727">
        <w:rPr>
          <w:lang w:val="uk-UA"/>
        </w:rPr>
        <w:t>.</w:t>
      </w:r>
    </w:p>
    <w:p w:rsidR="00A84926" w:rsidRPr="00603727" w:rsidRDefault="00A84926" w:rsidP="00E6009E">
      <w:pPr>
        <w:ind w:firstLine="567"/>
        <w:contextualSpacing/>
        <w:jc w:val="both"/>
        <w:rPr>
          <w:lang w:val="uk-UA"/>
        </w:rPr>
      </w:pPr>
      <w:r w:rsidRPr="00603727">
        <w:rPr>
          <w:lang w:val="uk-UA"/>
        </w:rPr>
        <w:t>Середньомісячні витрати на утримання територій загального користування склали 1,29 грн./</w:t>
      </w:r>
      <w:proofErr w:type="spellStart"/>
      <w:r w:rsidRPr="00603727">
        <w:rPr>
          <w:lang w:val="uk-UA"/>
        </w:rPr>
        <w:t>кв.м</w:t>
      </w:r>
      <w:proofErr w:type="spellEnd"/>
      <w:r w:rsidRPr="00603727">
        <w:rPr>
          <w:lang w:val="uk-UA"/>
        </w:rPr>
        <w:t>.</w:t>
      </w:r>
    </w:p>
    <w:p w:rsidR="007C4B80" w:rsidRPr="00603727" w:rsidRDefault="00892B46" w:rsidP="00E6009E">
      <w:pPr>
        <w:ind w:firstLine="567"/>
        <w:contextualSpacing/>
        <w:jc w:val="both"/>
        <w:rPr>
          <w:lang w:val="uk-UA"/>
        </w:rPr>
      </w:pPr>
      <w:r w:rsidRPr="00603727">
        <w:rPr>
          <w:lang w:val="uk-UA"/>
        </w:rPr>
        <w:t>Протягом</w:t>
      </w:r>
      <w:r w:rsidR="005B6E4C" w:rsidRPr="00603727">
        <w:rPr>
          <w:lang w:val="uk-UA"/>
        </w:rPr>
        <w:t xml:space="preserve"> </w:t>
      </w:r>
      <w:r w:rsidR="00B824EF" w:rsidRPr="00603727">
        <w:rPr>
          <w:lang w:val="uk-UA"/>
        </w:rPr>
        <w:t>звітного періоду</w:t>
      </w:r>
      <w:r w:rsidR="007C4B80" w:rsidRPr="00603727">
        <w:rPr>
          <w:lang w:val="uk-UA"/>
        </w:rPr>
        <w:t xml:space="preserve"> робітниками виконувались</w:t>
      </w:r>
      <w:r w:rsidRPr="00603727">
        <w:rPr>
          <w:lang w:val="uk-UA"/>
        </w:rPr>
        <w:t xml:space="preserve"> наступні</w:t>
      </w:r>
      <w:r w:rsidR="007C4B80" w:rsidRPr="00603727">
        <w:rPr>
          <w:lang w:val="uk-UA"/>
        </w:rPr>
        <w:t xml:space="preserve"> робот</w:t>
      </w:r>
      <w:r w:rsidRPr="00603727">
        <w:rPr>
          <w:lang w:val="uk-UA"/>
        </w:rPr>
        <w:t>и</w:t>
      </w:r>
      <w:r w:rsidR="007C4B80" w:rsidRPr="00603727">
        <w:rPr>
          <w:lang w:val="uk-UA"/>
        </w:rPr>
        <w:t>:</w:t>
      </w:r>
    </w:p>
    <w:p w:rsidR="005C2432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>прибирання територій вулиць від сміття і вуличного змету;</w:t>
      </w:r>
    </w:p>
    <w:p w:rsidR="005C2432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посипання тротуарів, пішохідних доріжок та доріг </w:t>
      </w:r>
      <w:proofErr w:type="spellStart"/>
      <w:r w:rsidRPr="00603727">
        <w:rPr>
          <w:lang w:val="uk-UA"/>
        </w:rPr>
        <w:t>піщано</w:t>
      </w:r>
      <w:proofErr w:type="spellEnd"/>
      <w:r w:rsidRPr="00603727">
        <w:rPr>
          <w:lang w:val="uk-UA"/>
        </w:rPr>
        <w:t xml:space="preserve"> – сольовою сумішшю і відсівом;</w:t>
      </w:r>
    </w:p>
    <w:p w:rsidR="005C2432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>очищення тротуарів від снігу;</w:t>
      </w:r>
    </w:p>
    <w:p w:rsidR="005C2432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>вирубування мілких непридатних гілок на кущах та деревах;</w:t>
      </w:r>
    </w:p>
    <w:p w:rsidR="005C2432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>очищення тротуарів від бруду та снігу ранцевою повітродувкою;</w:t>
      </w:r>
    </w:p>
    <w:p w:rsidR="002969C0" w:rsidRPr="00603727" w:rsidRDefault="005C2432" w:rsidP="00E6009E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603727">
        <w:rPr>
          <w:lang w:val="uk-UA"/>
        </w:rPr>
        <w:t>очищення урн від сміття</w:t>
      </w:r>
      <w:r w:rsidR="002969C0" w:rsidRPr="00603727">
        <w:rPr>
          <w:lang w:val="uk-UA"/>
        </w:rPr>
        <w:t xml:space="preserve"> та ін.</w:t>
      </w:r>
    </w:p>
    <w:p w:rsidR="00127761" w:rsidRPr="00603727" w:rsidRDefault="002969C0" w:rsidP="00E6009E">
      <w:pPr>
        <w:ind w:firstLine="426"/>
        <w:contextualSpacing/>
        <w:jc w:val="both"/>
        <w:rPr>
          <w:lang w:val="uk-UA"/>
        </w:rPr>
      </w:pPr>
      <w:r w:rsidRPr="00603727">
        <w:rPr>
          <w:lang w:val="uk-UA"/>
        </w:rPr>
        <w:t>Лісником забезпечувалося прибирання території міського лісу від випадкового сміття, очищення баків та мішків для сміття,  прибирання зон відпочинку в лісі, санітарна очистка лісу, заміна оголошень на інформаційних стендах</w:t>
      </w:r>
      <w:r w:rsidR="00A9030C" w:rsidRPr="00603727">
        <w:rPr>
          <w:lang w:val="uk-UA"/>
        </w:rPr>
        <w:t xml:space="preserve"> та </w:t>
      </w:r>
      <w:r w:rsidRPr="00603727">
        <w:rPr>
          <w:lang w:val="uk-UA"/>
        </w:rPr>
        <w:t xml:space="preserve">нагляд за </w:t>
      </w:r>
      <w:r w:rsidR="00E96464" w:rsidRPr="00603727">
        <w:rPr>
          <w:lang w:val="uk-UA"/>
        </w:rPr>
        <w:t xml:space="preserve"> </w:t>
      </w:r>
      <w:r w:rsidR="00127761" w:rsidRPr="00603727">
        <w:rPr>
          <w:lang w:val="uk-UA"/>
        </w:rPr>
        <w:t>несанкціонован</w:t>
      </w:r>
      <w:r w:rsidRPr="00603727">
        <w:rPr>
          <w:lang w:val="uk-UA"/>
        </w:rPr>
        <w:t xml:space="preserve">им вирубуванням </w:t>
      </w:r>
      <w:r w:rsidR="00127761" w:rsidRPr="00603727">
        <w:rPr>
          <w:lang w:val="uk-UA"/>
        </w:rPr>
        <w:t>дерев</w:t>
      </w:r>
      <w:r w:rsidR="00E96464" w:rsidRPr="00603727">
        <w:rPr>
          <w:lang w:val="uk-UA"/>
        </w:rPr>
        <w:t>.</w:t>
      </w:r>
    </w:p>
    <w:p w:rsidR="00BD514F" w:rsidRPr="00603727" w:rsidRDefault="007A1D6A" w:rsidP="00E6009E">
      <w:pPr>
        <w:ind w:firstLine="567"/>
        <w:contextualSpacing/>
        <w:jc w:val="both"/>
        <w:rPr>
          <w:lang w:val="uk-UA"/>
        </w:rPr>
      </w:pPr>
      <w:r w:rsidRPr="00603727">
        <w:rPr>
          <w:lang w:val="uk-UA"/>
        </w:rPr>
        <w:t>Робітниками з благоустрою</w:t>
      </w:r>
      <w:r w:rsidR="00E96464" w:rsidRPr="00603727">
        <w:rPr>
          <w:lang w:val="uk-UA"/>
        </w:rPr>
        <w:t xml:space="preserve"> </w:t>
      </w:r>
      <w:r w:rsidR="002969C0" w:rsidRPr="00603727">
        <w:rPr>
          <w:lang w:val="uk-UA"/>
        </w:rPr>
        <w:t xml:space="preserve">на постійній основі </w:t>
      </w:r>
      <w:r w:rsidR="00E96464" w:rsidRPr="00603727">
        <w:rPr>
          <w:lang w:val="uk-UA"/>
        </w:rPr>
        <w:t xml:space="preserve">здійснювався догляд та утримання </w:t>
      </w:r>
      <w:r w:rsidR="00D55A7D" w:rsidRPr="00603727">
        <w:rPr>
          <w:lang w:val="uk-UA"/>
        </w:rPr>
        <w:t>Графськ</w:t>
      </w:r>
      <w:r w:rsidR="00E96464" w:rsidRPr="00603727">
        <w:rPr>
          <w:lang w:val="uk-UA"/>
        </w:rPr>
        <w:t>ого</w:t>
      </w:r>
      <w:r w:rsidR="00D55A7D" w:rsidRPr="00603727">
        <w:rPr>
          <w:lang w:val="uk-UA"/>
        </w:rPr>
        <w:t xml:space="preserve"> парк</w:t>
      </w:r>
      <w:r w:rsidR="00E96464" w:rsidRPr="00603727">
        <w:rPr>
          <w:lang w:val="uk-UA"/>
        </w:rPr>
        <w:t>у</w:t>
      </w:r>
      <w:r w:rsidR="00D55A7D" w:rsidRPr="00603727">
        <w:rPr>
          <w:lang w:val="uk-UA"/>
        </w:rPr>
        <w:t xml:space="preserve"> (5</w:t>
      </w:r>
      <w:r w:rsidR="00E96464" w:rsidRPr="00603727">
        <w:rPr>
          <w:lang w:val="uk-UA"/>
        </w:rPr>
        <w:t xml:space="preserve"> </w:t>
      </w:r>
      <w:r w:rsidR="00D55A7D" w:rsidRPr="00603727">
        <w:rPr>
          <w:lang w:val="uk-UA"/>
        </w:rPr>
        <w:t>га)</w:t>
      </w:r>
      <w:r w:rsidR="002969C0" w:rsidRPr="00603727">
        <w:rPr>
          <w:lang w:val="uk-UA"/>
        </w:rPr>
        <w:t xml:space="preserve">, зокрема проводились роботи по прибиранню території, очищення доріжок, очищення урн від сміття та ін., </w:t>
      </w:r>
      <w:r w:rsidR="00BD514F" w:rsidRPr="00603727">
        <w:rPr>
          <w:lang w:val="uk-UA"/>
        </w:rPr>
        <w:t>хоча</w:t>
      </w:r>
      <w:r w:rsidR="00D55A7D" w:rsidRPr="00603727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603727">
        <w:rPr>
          <w:lang w:val="uk-UA"/>
        </w:rPr>
        <w:t>.</w:t>
      </w:r>
    </w:p>
    <w:p w:rsidR="00875D9F" w:rsidRPr="00603727" w:rsidRDefault="00DA1751" w:rsidP="00E6009E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ab/>
      </w:r>
      <w:r w:rsidR="00875D9F" w:rsidRPr="00603727">
        <w:rPr>
          <w:bCs/>
          <w:lang w:val="uk-UA"/>
        </w:rPr>
        <w:t>Фахів</w:t>
      </w:r>
      <w:r w:rsidR="00230D5D" w:rsidRPr="00603727">
        <w:rPr>
          <w:bCs/>
          <w:lang w:val="uk-UA"/>
        </w:rPr>
        <w:t xml:space="preserve">цем </w:t>
      </w:r>
      <w:r w:rsidR="00875D9F" w:rsidRPr="00603727">
        <w:rPr>
          <w:bCs/>
          <w:lang w:val="uk-UA"/>
        </w:rPr>
        <w:t>з ландшафтного дизайну виконувал</w:t>
      </w:r>
      <w:r w:rsidR="00230D5D" w:rsidRPr="00603727">
        <w:rPr>
          <w:bCs/>
          <w:lang w:val="uk-UA"/>
        </w:rPr>
        <w:t xml:space="preserve">ись </w:t>
      </w:r>
      <w:r w:rsidR="00875D9F" w:rsidRPr="00603727">
        <w:rPr>
          <w:bCs/>
          <w:lang w:val="uk-UA"/>
        </w:rPr>
        <w:t>такі роботи:</w:t>
      </w:r>
    </w:p>
    <w:p w:rsidR="00DA1751" w:rsidRPr="00603727" w:rsidRDefault="00DA1751" w:rsidP="00E6009E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603727">
        <w:rPr>
          <w:lang w:val="uk-UA"/>
        </w:rPr>
        <w:t>розробка проектів озеленення квітників;</w:t>
      </w:r>
    </w:p>
    <w:p w:rsidR="00DA1751" w:rsidRPr="00603727" w:rsidRDefault="00DA1751" w:rsidP="00E6009E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603727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603727" w:rsidRDefault="00DA1751" w:rsidP="00E6009E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603727">
        <w:rPr>
          <w:lang w:val="uk-UA"/>
        </w:rPr>
        <w:t>моніторинг стану зелених насаджень парків, скверів та вулиць міста;</w:t>
      </w:r>
    </w:p>
    <w:p w:rsidR="00DA1751" w:rsidRPr="00603727" w:rsidRDefault="00DA1751" w:rsidP="00E6009E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603727">
        <w:rPr>
          <w:lang w:val="uk-UA"/>
        </w:rPr>
        <w:t>виготовлення схем озеленення вулиць міста;</w:t>
      </w:r>
    </w:p>
    <w:p w:rsidR="00DA1751" w:rsidRPr="00603727" w:rsidRDefault="00DA1751" w:rsidP="00E6009E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603727">
        <w:rPr>
          <w:lang w:val="uk-UA"/>
        </w:rPr>
        <w:t>розробка планів проведення весняних робіт з благоустрою</w:t>
      </w:r>
      <w:r w:rsidR="00F80852" w:rsidRPr="00603727">
        <w:rPr>
          <w:lang w:val="uk-UA"/>
        </w:rPr>
        <w:t>.</w:t>
      </w:r>
    </w:p>
    <w:p w:rsidR="003231F5" w:rsidRPr="00603727" w:rsidRDefault="003A54A2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>П</w:t>
      </w:r>
      <w:r w:rsidR="00687766" w:rsidRPr="00603727">
        <w:rPr>
          <w:bCs/>
          <w:lang w:val="uk-UA"/>
        </w:rPr>
        <w:t xml:space="preserve">ротягом </w:t>
      </w:r>
      <w:r w:rsidR="00436EDA" w:rsidRPr="00603727">
        <w:rPr>
          <w:bCs/>
          <w:lang w:val="uk-UA"/>
        </w:rPr>
        <w:t xml:space="preserve">звітного періоду </w:t>
      </w:r>
      <w:r w:rsidR="003231F5" w:rsidRPr="00603727">
        <w:rPr>
          <w:bCs/>
          <w:lang w:val="uk-UA"/>
        </w:rPr>
        <w:t>до</w:t>
      </w:r>
      <w:r w:rsidRPr="00603727">
        <w:rPr>
          <w:bCs/>
          <w:lang w:val="uk-UA"/>
        </w:rPr>
        <w:t xml:space="preserve"> щоденно</w:t>
      </w:r>
      <w:r w:rsidR="003231F5" w:rsidRPr="00603727">
        <w:rPr>
          <w:bCs/>
          <w:lang w:val="uk-UA"/>
        </w:rPr>
        <w:t>го</w:t>
      </w:r>
      <w:r w:rsidRPr="00603727">
        <w:rPr>
          <w:bCs/>
          <w:lang w:val="uk-UA"/>
        </w:rPr>
        <w:t xml:space="preserve"> </w:t>
      </w:r>
      <w:r w:rsidR="003231F5" w:rsidRPr="00603727">
        <w:rPr>
          <w:bCs/>
          <w:lang w:val="uk-UA"/>
        </w:rPr>
        <w:t xml:space="preserve">механізованого утримання територій загального користування залучалися наступні технічні ресурси: </w:t>
      </w:r>
      <w:r w:rsidR="00014489" w:rsidRPr="004507BD">
        <w:rPr>
          <w:bCs/>
          <w:lang w:val="uk-UA"/>
        </w:rPr>
        <w:t>ГАЗ 5314  вантажний, самоскид</w:t>
      </w:r>
      <w:r w:rsidR="00014489" w:rsidRPr="00603727">
        <w:rPr>
          <w:bCs/>
          <w:lang w:val="uk-UA"/>
        </w:rPr>
        <w:t xml:space="preserve">, </w:t>
      </w:r>
      <w:r w:rsidR="00014489" w:rsidRPr="00603727">
        <w:rPr>
          <w:bCs/>
        </w:rPr>
        <w:t>LOVOL</w:t>
      </w:r>
      <w:r w:rsidR="00014489" w:rsidRPr="004507BD">
        <w:rPr>
          <w:bCs/>
          <w:lang w:val="uk-UA"/>
        </w:rPr>
        <w:t xml:space="preserve"> </w:t>
      </w:r>
      <w:r w:rsidR="00014489" w:rsidRPr="00603727">
        <w:rPr>
          <w:bCs/>
        </w:rPr>
        <w:t>FT</w:t>
      </w:r>
      <w:r w:rsidR="00014489" w:rsidRPr="004507BD">
        <w:rPr>
          <w:bCs/>
          <w:lang w:val="uk-UA"/>
        </w:rPr>
        <w:t>504</w:t>
      </w:r>
      <w:r w:rsidR="00014489" w:rsidRPr="00603727">
        <w:rPr>
          <w:bCs/>
        </w:rPr>
        <w:t>N</w:t>
      </w:r>
      <w:r w:rsidR="00014489" w:rsidRPr="004507BD">
        <w:rPr>
          <w:bCs/>
          <w:lang w:val="uk-UA"/>
        </w:rPr>
        <w:t xml:space="preserve">  трактор колісний</w:t>
      </w:r>
      <w:r w:rsidR="00040F50" w:rsidRPr="00603727">
        <w:rPr>
          <w:bCs/>
          <w:lang w:val="uk-UA"/>
        </w:rPr>
        <w:t xml:space="preserve">, </w:t>
      </w:r>
      <w:r w:rsidR="00014489" w:rsidRPr="004507BD">
        <w:rPr>
          <w:bCs/>
          <w:lang w:val="uk-UA"/>
        </w:rPr>
        <w:t>Беларус-82.1  трактор колісний</w:t>
      </w:r>
      <w:r w:rsidR="00040F50" w:rsidRPr="00603727">
        <w:rPr>
          <w:bCs/>
          <w:lang w:val="uk-UA"/>
        </w:rPr>
        <w:t xml:space="preserve">. </w:t>
      </w:r>
      <w:r w:rsidR="00BB28B5" w:rsidRPr="00603727">
        <w:rPr>
          <w:bCs/>
          <w:lang w:val="uk-UA"/>
        </w:rPr>
        <w:t>З трудових ресурсів залуча</w:t>
      </w:r>
      <w:r w:rsidR="00040F50" w:rsidRPr="00603727">
        <w:rPr>
          <w:bCs/>
          <w:lang w:val="uk-UA"/>
        </w:rPr>
        <w:t xml:space="preserve">вся 1 </w:t>
      </w:r>
      <w:r w:rsidR="00BB28B5" w:rsidRPr="00603727">
        <w:rPr>
          <w:bCs/>
          <w:lang w:val="uk-UA"/>
        </w:rPr>
        <w:t>воді</w:t>
      </w:r>
      <w:r w:rsidR="00040F50" w:rsidRPr="00603727">
        <w:rPr>
          <w:bCs/>
          <w:lang w:val="uk-UA"/>
        </w:rPr>
        <w:t>й</w:t>
      </w:r>
      <w:r w:rsidR="00BB28B5" w:rsidRPr="00603727">
        <w:rPr>
          <w:bCs/>
          <w:lang w:val="uk-UA"/>
        </w:rPr>
        <w:t xml:space="preserve"> автотранспортних засобів</w:t>
      </w:r>
      <w:r w:rsidR="00EC7FDD" w:rsidRPr="00603727">
        <w:rPr>
          <w:bCs/>
          <w:lang w:val="uk-UA"/>
        </w:rPr>
        <w:t xml:space="preserve"> та </w:t>
      </w:r>
      <w:r w:rsidR="00040F50" w:rsidRPr="00603727">
        <w:rPr>
          <w:bCs/>
          <w:lang w:val="uk-UA"/>
        </w:rPr>
        <w:t>2</w:t>
      </w:r>
      <w:r w:rsidR="00EC7FDD" w:rsidRPr="00603727">
        <w:rPr>
          <w:bCs/>
          <w:lang w:val="uk-UA"/>
        </w:rPr>
        <w:t xml:space="preserve"> тракторист</w:t>
      </w:r>
      <w:r w:rsidR="00040F50" w:rsidRPr="00603727">
        <w:rPr>
          <w:bCs/>
          <w:lang w:val="uk-UA"/>
        </w:rPr>
        <w:t>и</w:t>
      </w:r>
      <w:r w:rsidR="009C51B6">
        <w:rPr>
          <w:bCs/>
          <w:lang w:val="uk-UA"/>
        </w:rPr>
        <w:t>, що передбачено умовами Програми.</w:t>
      </w:r>
    </w:p>
    <w:p w:rsidR="00F24E69" w:rsidRPr="00603727" w:rsidRDefault="00BB28B5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 xml:space="preserve"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</w:t>
      </w:r>
      <w:proofErr w:type="spellStart"/>
      <w:r w:rsidRPr="00603727">
        <w:rPr>
          <w:bCs/>
          <w:lang w:val="uk-UA"/>
        </w:rPr>
        <w:t>піщано</w:t>
      </w:r>
      <w:proofErr w:type="spellEnd"/>
      <w:r w:rsidRPr="00603727">
        <w:rPr>
          <w:bCs/>
          <w:lang w:val="uk-UA"/>
        </w:rPr>
        <w:t xml:space="preserve"> – сольовою сумішшю, вивезення снігу) підприємство</w:t>
      </w:r>
      <w:r w:rsidR="00730591" w:rsidRPr="00603727">
        <w:rPr>
          <w:bCs/>
          <w:lang w:val="uk-UA"/>
        </w:rPr>
        <w:t xml:space="preserve"> </w:t>
      </w:r>
      <w:r w:rsidR="00F24E69" w:rsidRPr="00603727">
        <w:rPr>
          <w:bCs/>
          <w:lang w:val="uk-UA"/>
        </w:rPr>
        <w:t>залучал</w:t>
      </w:r>
      <w:r w:rsidRPr="00603727">
        <w:rPr>
          <w:bCs/>
          <w:lang w:val="uk-UA"/>
        </w:rPr>
        <w:t xml:space="preserve">о </w:t>
      </w:r>
      <w:r w:rsidR="00807F5D" w:rsidRPr="00603727">
        <w:rPr>
          <w:bCs/>
          <w:lang w:val="uk-UA"/>
        </w:rPr>
        <w:t>наступні технічні засоби</w:t>
      </w:r>
      <w:r w:rsidRPr="00603727">
        <w:rPr>
          <w:bCs/>
          <w:lang w:val="uk-UA"/>
        </w:rPr>
        <w:t xml:space="preserve">: </w:t>
      </w:r>
      <w:bookmarkStart w:id="2" w:name="_Hlk57794125"/>
      <w:r w:rsidR="007F3CE1" w:rsidRPr="00603727">
        <w:rPr>
          <w:bCs/>
          <w:lang w:val="uk-UA"/>
        </w:rPr>
        <w:t xml:space="preserve">1 автомобіль СБМ МДКЗ 12-06 спеціальний </w:t>
      </w:r>
      <w:proofErr w:type="spellStart"/>
      <w:r w:rsidR="007F3CE1" w:rsidRPr="00603727">
        <w:rPr>
          <w:bCs/>
          <w:lang w:val="uk-UA"/>
        </w:rPr>
        <w:t>підмітально-прибиральний</w:t>
      </w:r>
      <w:proofErr w:type="spellEnd"/>
      <w:r w:rsidR="007F3CE1" w:rsidRPr="00603727">
        <w:rPr>
          <w:bCs/>
          <w:lang w:val="uk-UA"/>
        </w:rPr>
        <w:t xml:space="preserve">, 1 автогрейдер BGD 140, </w:t>
      </w:r>
      <w:r w:rsidR="00EC7FDD" w:rsidRPr="00603727">
        <w:rPr>
          <w:bCs/>
          <w:lang w:val="uk-UA"/>
        </w:rPr>
        <w:t>3</w:t>
      </w:r>
      <w:r w:rsidRPr="00603727">
        <w:rPr>
          <w:bCs/>
          <w:lang w:val="uk-UA"/>
        </w:rPr>
        <w:t xml:space="preserve"> трактора КИЙ 14102, екскаватор – навантажувач JCB</w:t>
      </w:r>
      <w:bookmarkEnd w:id="2"/>
      <w:r w:rsidRPr="00603727">
        <w:rPr>
          <w:bCs/>
          <w:lang w:val="uk-UA"/>
        </w:rPr>
        <w:t xml:space="preserve">, автомобіль </w:t>
      </w:r>
      <w:proofErr w:type="spellStart"/>
      <w:r w:rsidRPr="00603727">
        <w:rPr>
          <w:bCs/>
          <w:lang w:val="uk-UA"/>
        </w:rPr>
        <w:t>МАЗ</w:t>
      </w:r>
      <w:proofErr w:type="spellEnd"/>
      <w:r w:rsidRPr="00603727">
        <w:rPr>
          <w:bCs/>
          <w:lang w:val="uk-UA"/>
        </w:rPr>
        <w:t xml:space="preserve"> 5550С3 вантажний самоскид, КАМАЗ самоскид – </w:t>
      </w:r>
      <w:r w:rsidR="007F3CE1" w:rsidRPr="00603727">
        <w:rPr>
          <w:bCs/>
          <w:lang w:val="uk-UA"/>
        </w:rPr>
        <w:t>2</w:t>
      </w:r>
      <w:r w:rsidRPr="00603727">
        <w:rPr>
          <w:bCs/>
          <w:lang w:val="uk-UA"/>
        </w:rPr>
        <w:t xml:space="preserve"> од.</w:t>
      </w:r>
      <w:r w:rsidR="00F24E69" w:rsidRPr="00603727">
        <w:rPr>
          <w:bCs/>
          <w:lang w:val="uk-UA"/>
        </w:rPr>
        <w:t xml:space="preserve"> </w:t>
      </w:r>
      <w:r w:rsidR="00264A0C" w:rsidRPr="00603727">
        <w:rPr>
          <w:bCs/>
          <w:lang w:val="uk-UA"/>
        </w:rPr>
        <w:t>В середньому в місяць залучалося до зимового механізованого утримання територій 9 працівників</w:t>
      </w:r>
      <w:r w:rsidR="009C51B6">
        <w:rPr>
          <w:bCs/>
          <w:lang w:val="uk-UA"/>
        </w:rPr>
        <w:t>, хоча Програмою передбачено 12</w:t>
      </w:r>
      <w:r w:rsidR="00264A0C" w:rsidRPr="00603727">
        <w:rPr>
          <w:bCs/>
          <w:lang w:val="uk-UA"/>
        </w:rPr>
        <w:t>.</w:t>
      </w:r>
    </w:p>
    <w:p w:rsidR="007F3CE1" w:rsidRPr="00603727" w:rsidRDefault="007F3CE1" w:rsidP="00E6009E">
      <w:pPr>
        <w:ind w:firstLine="426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та доплата за розширення </w:t>
      </w:r>
      <w:r w:rsidRPr="00603727">
        <w:rPr>
          <w:lang w:val="uk-UA"/>
        </w:rPr>
        <w:lastRenderedPageBreak/>
        <w:t>зони обслуговування за фактично відпрацьований</w:t>
      </w:r>
      <w:r w:rsidRPr="00603727">
        <w:t xml:space="preserve"> час </w:t>
      </w:r>
      <w:r w:rsidRPr="00603727">
        <w:rPr>
          <w:lang w:val="uk-UA"/>
        </w:rPr>
        <w:t>у розмірах, передбачених Програмою, а також матеріальна допомога на оздоровлення при наданні щорічної відпустки у розмірі 50 % від тарифної ставки / окладу. Оплата роботи в надурочний час, у вихідні та неробочі дні проводилася згідно законодавства. Дані виплати передбачені Програмою.</w:t>
      </w:r>
    </w:p>
    <w:p w:rsidR="007F3CE1" w:rsidRPr="00603727" w:rsidRDefault="007F3CE1" w:rsidP="00E6009E">
      <w:pPr>
        <w:ind w:firstLine="426"/>
        <w:contextualSpacing/>
        <w:jc w:val="both"/>
        <w:rPr>
          <w:bCs/>
          <w:i/>
          <w:lang w:val="uk-UA"/>
        </w:rPr>
      </w:pPr>
      <w:r w:rsidRPr="00603727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</w:t>
      </w:r>
    </w:p>
    <w:p w:rsidR="005A3F1B" w:rsidRPr="00603727" w:rsidRDefault="00917B85" w:rsidP="00E6009E">
      <w:pPr>
        <w:ind w:firstLine="426"/>
        <w:contextualSpacing/>
        <w:jc w:val="both"/>
        <w:rPr>
          <w:lang w:val="uk-UA"/>
        </w:rPr>
      </w:pPr>
      <w:r w:rsidRPr="00603727">
        <w:rPr>
          <w:lang w:val="uk-UA"/>
        </w:rPr>
        <w:t>Залу</w:t>
      </w:r>
      <w:r w:rsidR="000F2E7C" w:rsidRPr="00603727">
        <w:rPr>
          <w:bCs/>
          <w:lang w:val="uk-UA"/>
        </w:rPr>
        <w:t>чення вище</w:t>
      </w:r>
      <w:r w:rsidR="007D5B9A" w:rsidRPr="00603727">
        <w:rPr>
          <w:bCs/>
          <w:lang w:val="uk-UA"/>
        </w:rPr>
        <w:t>вказаного пе</w:t>
      </w:r>
      <w:r w:rsidR="000F2E7C" w:rsidRPr="00603727">
        <w:rPr>
          <w:bCs/>
          <w:lang w:val="uk-UA"/>
        </w:rPr>
        <w:t>рсоналу до робіт з благоустрою</w:t>
      </w:r>
      <w:r w:rsidR="007D5B9A" w:rsidRPr="00603727">
        <w:rPr>
          <w:bCs/>
          <w:lang w:val="uk-UA"/>
        </w:rPr>
        <w:t xml:space="preserve"> дозволило утримувати </w:t>
      </w:r>
      <w:r w:rsidR="00F22042" w:rsidRPr="00603727">
        <w:rPr>
          <w:bCs/>
          <w:lang w:val="uk-UA"/>
        </w:rPr>
        <w:t>території міста</w:t>
      </w:r>
      <w:r w:rsidR="007D5B9A" w:rsidRPr="00603727">
        <w:rPr>
          <w:bCs/>
          <w:lang w:val="uk-UA"/>
        </w:rPr>
        <w:t xml:space="preserve"> </w:t>
      </w:r>
      <w:r w:rsidR="00ED4E42" w:rsidRPr="00603727">
        <w:rPr>
          <w:bCs/>
          <w:lang w:val="uk-UA"/>
        </w:rPr>
        <w:t>в належному са</w:t>
      </w:r>
      <w:r w:rsidR="007D5B9A" w:rsidRPr="00603727">
        <w:rPr>
          <w:bCs/>
          <w:lang w:val="uk-UA"/>
        </w:rPr>
        <w:t>нітарно</w:t>
      </w:r>
      <w:r w:rsidR="00ED4E42" w:rsidRPr="00603727">
        <w:rPr>
          <w:bCs/>
          <w:lang w:val="uk-UA"/>
        </w:rPr>
        <w:t xml:space="preserve">му </w:t>
      </w:r>
      <w:r w:rsidR="00A73B6C" w:rsidRPr="00603727">
        <w:rPr>
          <w:bCs/>
          <w:lang w:val="uk-UA"/>
        </w:rPr>
        <w:t xml:space="preserve">та естетичному </w:t>
      </w:r>
      <w:r w:rsidR="007D5B9A" w:rsidRPr="00603727">
        <w:rPr>
          <w:bCs/>
          <w:lang w:val="uk-UA"/>
        </w:rPr>
        <w:t xml:space="preserve">стані. </w:t>
      </w:r>
    </w:p>
    <w:p w:rsidR="005179AE" w:rsidRPr="00603727" w:rsidRDefault="005179AE" w:rsidP="00E6009E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603727" w:rsidRDefault="00B2182B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603727">
        <w:rPr>
          <w:bCs/>
          <w:sz w:val="22"/>
          <w:szCs w:val="22"/>
          <w:lang w:val="uk-UA"/>
        </w:rPr>
        <w:tab/>
      </w:r>
      <w:r w:rsidR="00FF6495" w:rsidRPr="00603727">
        <w:rPr>
          <w:b/>
          <w:bCs/>
          <w:i/>
          <w:lang w:val="uk-UA"/>
        </w:rPr>
        <w:t>Захід 3.</w:t>
      </w:r>
      <w:r w:rsidR="00FF6495" w:rsidRPr="00603727">
        <w:rPr>
          <w:lang w:val="uk-UA"/>
        </w:rPr>
        <w:t xml:space="preserve"> </w:t>
      </w:r>
      <w:r w:rsidR="00FF6495" w:rsidRPr="00603727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603727" w:rsidRDefault="00FF6495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6937AA" w:rsidRPr="00603727" w:rsidRDefault="00FF6495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603727">
        <w:rPr>
          <w:b/>
          <w:i/>
          <w:lang w:val="uk-UA"/>
        </w:rPr>
        <w:tab/>
      </w:r>
      <w:r w:rsidR="009A7F57" w:rsidRPr="00603727">
        <w:rPr>
          <w:lang w:val="uk-UA"/>
        </w:rPr>
        <w:t>Програмним заходом передбачено утримання 1</w:t>
      </w:r>
      <w:r w:rsidR="00C044FF" w:rsidRPr="00603727">
        <w:rPr>
          <w:lang w:val="uk-UA"/>
        </w:rPr>
        <w:t>7 інженерно-технічних та адміністративно-управлінських</w:t>
      </w:r>
      <w:r w:rsidR="009A7F57" w:rsidRPr="00603727">
        <w:rPr>
          <w:lang w:val="uk-UA"/>
        </w:rPr>
        <w:t xml:space="preserve"> працівників </w:t>
      </w:r>
      <w:r w:rsidR="00C044FF" w:rsidRPr="00603727">
        <w:rPr>
          <w:lang w:val="uk-UA"/>
        </w:rPr>
        <w:t xml:space="preserve">(8,5 </w:t>
      </w:r>
      <w:r w:rsidR="009A7F57" w:rsidRPr="00603727">
        <w:rPr>
          <w:lang w:val="uk-UA"/>
        </w:rPr>
        <w:t>штатних одиниць</w:t>
      </w:r>
      <w:r w:rsidR="00C044FF" w:rsidRPr="00603727">
        <w:rPr>
          <w:lang w:val="uk-UA"/>
        </w:rPr>
        <w:t>)</w:t>
      </w:r>
      <w:r w:rsidR="009A7F57" w:rsidRPr="00603727">
        <w:rPr>
          <w:lang w:val="uk-UA"/>
        </w:rPr>
        <w:t xml:space="preserve"> з оплатою праці у розмірі 50% посадового окладу</w:t>
      </w:r>
      <w:r w:rsidR="006937AA" w:rsidRPr="00603727">
        <w:rPr>
          <w:lang w:val="uk-UA"/>
        </w:rPr>
        <w:t xml:space="preserve">, у тому числі за посадами: начальник </w:t>
      </w:r>
      <w:proofErr w:type="spellStart"/>
      <w:r w:rsidR="006937AA" w:rsidRPr="00603727">
        <w:rPr>
          <w:lang w:val="uk-UA"/>
        </w:rPr>
        <w:t>КП</w:t>
      </w:r>
      <w:proofErr w:type="spellEnd"/>
      <w:r w:rsidR="006937AA" w:rsidRPr="00603727">
        <w:rPr>
          <w:lang w:val="uk-UA"/>
        </w:rPr>
        <w:t xml:space="preserve"> «ВУКГ», перший заступник начальника </w:t>
      </w:r>
      <w:proofErr w:type="spellStart"/>
      <w:r w:rsidR="006937AA" w:rsidRPr="00603727">
        <w:rPr>
          <w:lang w:val="uk-UA"/>
        </w:rPr>
        <w:t>КП</w:t>
      </w:r>
      <w:proofErr w:type="spellEnd"/>
      <w:r w:rsidR="006937AA" w:rsidRPr="00603727">
        <w:rPr>
          <w:lang w:val="uk-UA"/>
        </w:rPr>
        <w:t xml:space="preserve"> «ВУКГ», інженер з охорони праці, юрисконсульт, менеджер з персоналу, інженер з програмного забезпечення комп’ютерів, головний бухгалтер – начальник відділу бухгалтерського обліку, бухгалтер, головний економіст – начальник відділу економічного аналізу та кошторисних робіт, економіст, завідувач складу, начальник дільниці – старший механік, механік, менеджер з логістики, </w:t>
      </w:r>
      <w:r w:rsidR="00AB6A6E" w:rsidRPr="00603727">
        <w:rPr>
          <w:lang w:val="uk-UA"/>
        </w:rPr>
        <w:t>диспетчер автомобільного транспорту.</w:t>
      </w:r>
    </w:p>
    <w:p w:rsidR="009A7F57" w:rsidRPr="00603727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603727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603727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603727">
        <w:rPr>
          <w:lang w:val="uk-UA"/>
        </w:rPr>
        <w:tab/>
      </w:r>
      <w:r w:rsidR="002D2A38" w:rsidRPr="00603727">
        <w:rPr>
          <w:lang w:val="uk-UA"/>
        </w:rPr>
        <w:t xml:space="preserve">З метою виконання заходів Програми для забезпечення </w:t>
      </w:r>
      <w:r w:rsidRPr="00603727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603727">
        <w:rPr>
          <w:b/>
          <w:bCs/>
          <w:i/>
          <w:lang w:val="uk-UA"/>
        </w:rPr>
        <w:t xml:space="preserve"> </w:t>
      </w:r>
      <w:r w:rsidR="002D2A38" w:rsidRPr="00603727">
        <w:rPr>
          <w:lang w:val="uk-UA"/>
        </w:rPr>
        <w:t xml:space="preserve">за рахунок бюджетних коштів через казначейську мережу за </w:t>
      </w:r>
      <w:r w:rsidRPr="00603727">
        <w:rPr>
          <w:lang w:val="uk-UA"/>
        </w:rPr>
        <w:t xml:space="preserve">рахунок </w:t>
      </w:r>
      <w:r w:rsidR="002D2A38" w:rsidRPr="00603727">
        <w:rPr>
          <w:lang w:val="uk-UA"/>
        </w:rPr>
        <w:t>бюджетн</w:t>
      </w:r>
      <w:r w:rsidRPr="00603727">
        <w:rPr>
          <w:lang w:val="uk-UA"/>
        </w:rPr>
        <w:t xml:space="preserve">их коштів </w:t>
      </w:r>
      <w:r w:rsidR="002D2A38" w:rsidRPr="00603727">
        <w:rPr>
          <w:lang w:val="uk-UA"/>
        </w:rPr>
        <w:t>протягом</w:t>
      </w:r>
      <w:r w:rsidR="00304869" w:rsidRPr="00603727">
        <w:rPr>
          <w:lang w:val="uk-UA"/>
        </w:rPr>
        <w:t xml:space="preserve"> </w:t>
      </w:r>
      <w:r w:rsidR="00216A41" w:rsidRPr="00603727">
        <w:rPr>
          <w:lang w:val="uk-UA"/>
        </w:rPr>
        <w:t>1 кварталу 202</w:t>
      </w:r>
      <w:r w:rsidR="00C044FF" w:rsidRPr="00603727">
        <w:rPr>
          <w:lang w:val="uk-UA"/>
        </w:rPr>
        <w:t>4</w:t>
      </w:r>
      <w:r w:rsidR="00304869" w:rsidRPr="00603727">
        <w:rPr>
          <w:lang w:val="uk-UA"/>
        </w:rPr>
        <w:t xml:space="preserve"> р.</w:t>
      </w:r>
      <w:r w:rsidR="00616F89" w:rsidRPr="00603727">
        <w:rPr>
          <w:lang w:val="uk-UA"/>
        </w:rPr>
        <w:t xml:space="preserve"> </w:t>
      </w:r>
      <w:r w:rsidRPr="00603727">
        <w:rPr>
          <w:lang w:val="uk-UA"/>
        </w:rPr>
        <w:t xml:space="preserve">утримувалося </w:t>
      </w:r>
      <w:r w:rsidR="00C044FF" w:rsidRPr="00603727">
        <w:rPr>
          <w:lang w:val="uk-UA"/>
        </w:rPr>
        <w:t>17</w:t>
      </w:r>
      <w:r w:rsidR="002D2A38" w:rsidRPr="00603727">
        <w:rPr>
          <w:lang w:val="uk-UA"/>
        </w:rPr>
        <w:t xml:space="preserve"> осіб</w:t>
      </w:r>
      <w:r w:rsidR="00304869" w:rsidRPr="00603727">
        <w:rPr>
          <w:lang w:val="uk-UA"/>
        </w:rPr>
        <w:t xml:space="preserve"> в місяць</w:t>
      </w:r>
      <w:r w:rsidR="00A21C04" w:rsidRPr="00603727">
        <w:rPr>
          <w:lang w:val="uk-UA"/>
        </w:rPr>
        <w:t>.</w:t>
      </w:r>
    </w:p>
    <w:p w:rsidR="007F4C0C" w:rsidRPr="00603727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603727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C044FF" w:rsidRPr="00603727">
        <w:rPr>
          <w:lang w:val="uk-UA"/>
        </w:rPr>
        <w:t>4</w:t>
      </w:r>
      <w:r w:rsidRPr="00603727">
        <w:rPr>
          <w:lang w:val="uk-UA"/>
        </w:rPr>
        <w:t xml:space="preserve"> рік було виділено бюджетних коштів у сумі</w:t>
      </w:r>
      <w:r w:rsidR="00216A41" w:rsidRPr="00603727">
        <w:rPr>
          <w:lang w:val="uk-UA"/>
        </w:rPr>
        <w:t xml:space="preserve"> </w:t>
      </w:r>
      <w:r w:rsidR="00C044FF" w:rsidRPr="00603727">
        <w:rPr>
          <w:lang w:val="uk-UA"/>
        </w:rPr>
        <w:t>1769000,</w:t>
      </w:r>
      <w:r w:rsidR="00216A41" w:rsidRPr="00603727">
        <w:rPr>
          <w:lang w:val="uk-UA"/>
        </w:rPr>
        <w:t>00</w:t>
      </w:r>
      <w:r w:rsidRPr="00603727">
        <w:rPr>
          <w:lang w:val="uk-UA"/>
        </w:rPr>
        <w:t xml:space="preserve"> грн.</w:t>
      </w:r>
    </w:p>
    <w:p w:rsidR="00825FBE" w:rsidRPr="00603727" w:rsidRDefault="0056613B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603727">
        <w:rPr>
          <w:lang w:val="uk-UA"/>
        </w:rPr>
        <w:t>Фактичн</w:t>
      </w:r>
      <w:r w:rsidR="00304869" w:rsidRPr="00603727">
        <w:rPr>
          <w:lang w:val="uk-UA"/>
        </w:rPr>
        <w:t>о проведені видатки н</w:t>
      </w:r>
      <w:r w:rsidRPr="00603727">
        <w:rPr>
          <w:lang w:val="uk-UA"/>
        </w:rPr>
        <w:t>а оплату праці</w:t>
      </w:r>
      <w:r w:rsidR="00304869" w:rsidRPr="00603727">
        <w:rPr>
          <w:lang w:val="uk-UA"/>
        </w:rPr>
        <w:t xml:space="preserve"> за</w:t>
      </w:r>
      <w:r w:rsidR="00216A41" w:rsidRPr="00603727">
        <w:rPr>
          <w:lang w:val="uk-UA"/>
        </w:rPr>
        <w:t xml:space="preserve"> 1 квартал</w:t>
      </w:r>
      <w:r w:rsidR="00304869" w:rsidRPr="00603727">
        <w:rPr>
          <w:lang w:val="uk-UA"/>
        </w:rPr>
        <w:t xml:space="preserve"> 202</w:t>
      </w:r>
      <w:r w:rsidR="006937AA" w:rsidRPr="00603727">
        <w:rPr>
          <w:lang w:val="uk-UA"/>
        </w:rPr>
        <w:t>4</w:t>
      </w:r>
      <w:r w:rsidR="00304869" w:rsidRPr="00603727">
        <w:rPr>
          <w:lang w:val="uk-UA"/>
        </w:rPr>
        <w:t xml:space="preserve"> р. </w:t>
      </w:r>
      <w:r w:rsidR="00825FBE" w:rsidRPr="00603727">
        <w:rPr>
          <w:lang w:val="uk-UA"/>
        </w:rPr>
        <w:t xml:space="preserve">– </w:t>
      </w:r>
      <w:r w:rsidR="006937AA" w:rsidRPr="00603727">
        <w:rPr>
          <w:lang w:val="uk-UA"/>
        </w:rPr>
        <w:t>694053,43</w:t>
      </w:r>
      <w:r w:rsidR="00304869" w:rsidRPr="00603727">
        <w:rPr>
          <w:bCs/>
          <w:lang w:val="uk-UA"/>
        </w:rPr>
        <w:t xml:space="preserve"> </w:t>
      </w:r>
      <w:r w:rsidRPr="00603727">
        <w:rPr>
          <w:lang w:val="uk-UA"/>
        </w:rPr>
        <w:t>грн.</w:t>
      </w:r>
    </w:p>
    <w:p w:rsidR="009A7F57" w:rsidRPr="00603727" w:rsidRDefault="009A7F57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Відхилення </w:t>
      </w:r>
      <w:r w:rsidR="007F4C0C" w:rsidRPr="00603727">
        <w:rPr>
          <w:lang w:val="uk-UA"/>
        </w:rPr>
        <w:t xml:space="preserve">фактичних показників від планових </w:t>
      </w:r>
      <w:r w:rsidR="00216A41" w:rsidRPr="00603727">
        <w:rPr>
          <w:lang w:val="uk-UA"/>
        </w:rPr>
        <w:t>–</w:t>
      </w:r>
      <w:r w:rsidR="009F1C02" w:rsidRPr="00603727">
        <w:rPr>
          <w:lang w:val="uk-UA"/>
        </w:rPr>
        <w:t xml:space="preserve"> </w:t>
      </w:r>
      <w:r w:rsidR="006937AA" w:rsidRPr="00603727">
        <w:rPr>
          <w:lang w:val="uk-UA"/>
        </w:rPr>
        <w:t>1074946,57</w:t>
      </w:r>
      <w:r w:rsidR="009F1C02" w:rsidRPr="00603727">
        <w:rPr>
          <w:lang w:val="uk-UA"/>
        </w:rPr>
        <w:t xml:space="preserve"> </w:t>
      </w:r>
      <w:r w:rsidRPr="00603727">
        <w:rPr>
          <w:lang w:val="uk-UA"/>
        </w:rPr>
        <w:t>грн.</w:t>
      </w:r>
      <w:r w:rsidR="00216A41" w:rsidRPr="00603727">
        <w:rPr>
          <w:lang w:val="uk-UA"/>
        </w:rPr>
        <w:t xml:space="preserve"> (кошти передбачені для використання в 2-4 кварталі 202</w:t>
      </w:r>
      <w:r w:rsidR="006937AA" w:rsidRPr="00603727">
        <w:rPr>
          <w:lang w:val="uk-UA"/>
        </w:rPr>
        <w:t>4</w:t>
      </w:r>
      <w:r w:rsidR="00216A41" w:rsidRPr="00603727">
        <w:rPr>
          <w:lang w:val="uk-UA"/>
        </w:rPr>
        <w:t xml:space="preserve"> року).</w:t>
      </w:r>
    </w:p>
    <w:p w:rsidR="007F4C0C" w:rsidRPr="00603727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Середньомісячні витрати на оплату праці 1 працівника склали </w:t>
      </w:r>
      <w:r w:rsidR="006937AA" w:rsidRPr="00603727">
        <w:rPr>
          <w:lang w:val="uk-UA"/>
        </w:rPr>
        <w:t>13608,89</w:t>
      </w:r>
      <w:r w:rsidRPr="00603727">
        <w:rPr>
          <w:lang w:val="uk-UA"/>
        </w:rPr>
        <w:t xml:space="preserve"> грн.</w:t>
      </w:r>
    </w:p>
    <w:p w:rsidR="005C29E9" w:rsidRPr="00603727" w:rsidRDefault="00AC142E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Залучення </w:t>
      </w:r>
      <w:r w:rsidRPr="00603727">
        <w:rPr>
          <w:iCs/>
          <w:lang w:val="uk-UA"/>
        </w:rPr>
        <w:t xml:space="preserve"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</w:t>
      </w:r>
      <w:r w:rsidR="006937AA" w:rsidRPr="00603727">
        <w:rPr>
          <w:iCs/>
          <w:lang w:val="uk-UA"/>
        </w:rPr>
        <w:t xml:space="preserve">в тому числі в період боротьби з наслідками снігопаду та ожеледицею, </w:t>
      </w:r>
      <w:r w:rsidRPr="00603727">
        <w:rPr>
          <w:iCs/>
          <w:lang w:val="uk-UA"/>
        </w:rPr>
        <w:t xml:space="preserve"> уникнути порушень техніки безпеки, трудової дисципліни </w:t>
      </w:r>
      <w:r w:rsidR="006937AA" w:rsidRPr="00603727">
        <w:rPr>
          <w:iCs/>
          <w:lang w:val="uk-UA"/>
        </w:rPr>
        <w:t xml:space="preserve">з боку робітничого персоналу </w:t>
      </w:r>
      <w:r w:rsidRPr="00603727">
        <w:rPr>
          <w:iCs/>
          <w:lang w:val="uk-UA"/>
        </w:rPr>
        <w:t>та ін.</w:t>
      </w:r>
      <w:r w:rsidR="005C29E9" w:rsidRPr="00603727">
        <w:rPr>
          <w:lang w:val="uk-UA"/>
        </w:rPr>
        <w:t xml:space="preserve"> </w:t>
      </w:r>
    </w:p>
    <w:p w:rsidR="00304869" w:rsidRPr="00603727" w:rsidRDefault="00304869" w:rsidP="00E6009E">
      <w:pPr>
        <w:contextualSpacing/>
        <w:jc w:val="both"/>
        <w:rPr>
          <w:lang w:val="uk-UA"/>
        </w:rPr>
      </w:pPr>
    </w:p>
    <w:p w:rsidR="00632001" w:rsidRPr="00603727" w:rsidRDefault="00927E92" w:rsidP="00E6009E">
      <w:pPr>
        <w:ind w:firstLine="708"/>
        <w:contextualSpacing/>
        <w:jc w:val="both"/>
        <w:rPr>
          <w:bCs/>
          <w:lang w:val="uk-UA"/>
        </w:rPr>
      </w:pPr>
      <w:r w:rsidRPr="00603727">
        <w:rPr>
          <w:bCs/>
          <w:lang w:val="uk-UA"/>
        </w:rPr>
        <w:t xml:space="preserve">Всього </w:t>
      </w:r>
      <w:r w:rsidR="00825FBE" w:rsidRPr="00603727">
        <w:rPr>
          <w:bCs/>
          <w:lang w:val="uk-UA"/>
        </w:rPr>
        <w:t>для</w:t>
      </w:r>
      <w:r w:rsidRPr="00603727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603727">
        <w:rPr>
          <w:bCs/>
          <w:lang w:val="uk-UA"/>
        </w:rPr>
        <w:t xml:space="preserve">з бюджету Ніжинської МТГ </w:t>
      </w:r>
      <w:r w:rsidRPr="00603727">
        <w:rPr>
          <w:bCs/>
          <w:lang w:val="uk-UA"/>
        </w:rPr>
        <w:t>виділено кошт</w:t>
      </w:r>
      <w:r w:rsidR="00825FBE" w:rsidRPr="00603727">
        <w:rPr>
          <w:bCs/>
          <w:lang w:val="uk-UA"/>
        </w:rPr>
        <w:t>ів</w:t>
      </w:r>
      <w:r w:rsidRPr="00603727">
        <w:rPr>
          <w:bCs/>
          <w:lang w:val="uk-UA"/>
        </w:rPr>
        <w:t xml:space="preserve"> </w:t>
      </w:r>
      <w:r w:rsidR="00825FBE" w:rsidRPr="00603727">
        <w:rPr>
          <w:bCs/>
          <w:lang w:val="uk-UA"/>
        </w:rPr>
        <w:t xml:space="preserve">на </w:t>
      </w:r>
      <w:r w:rsidR="00F00E6D" w:rsidRPr="00603727">
        <w:rPr>
          <w:bCs/>
          <w:lang w:val="uk-UA"/>
        </w:rPr>
        <w:t>202</w:t>
      </w:r>
      <w:r w:rsidR="00102480" w:rsidRPr="00603727">
        <w:rPr>
          <w:bCs/>
          <w:lang w:val="uk-UA"/>
        </w:rPr>
        <w:t>4</w:t>
      </w:r>
      <w:r w:rsidR="00F00E6D" w:rsidRPr="00603727">
        <w:rPr>
          <w:bCs/>
          <w:lang w:val="uk-UA"/>
        </w:rPr>
        <w:t xml:space="preserve"> рік на </w:t>
      </w:r>
      <w:r w:rsidR="00825FBE" w:rsidRPr="00603727">
        <w:rPr>
          <w:bCs/>
          <w:lang w:val="uk-UA"/>
        </w:rPr>
        <w:t xml:space="preserve">суму </w:t>
      </w:r>
      <w:r w:rsidR="00102480" w:rsidRPr="00603727">
        <w:rPr>
          <w:bCs/>
          <w:lang w:val="uk-UA"/>
        </w:rPr>
        <w:t>15810000,00</w:t>
      </w:r>
      <w:r w:rsidRPr="00603727">
        <w:rPr>
          <w:bCs/>
          <w:lang w:val="uk-UA"/>
        </w:rPr>
        <w:t xml:space="preserve"> грн.</w:t>
      </w:r>
      <w:r w:rsidR="00825FBE" w:rsidRPr="00603727">
        <w:rPr>
          <w:bCs/>
          <w:lang w:val="uk-UA"/>
        </w:rPr>
        <w:t xml:space="preserve"> Фактично </w:t>
      </w:r>
      <w:r w:rsidR="005B6A5B" w:rsidRPr="00603727">
        <w:rPr>
          <w:lang w:val="uk-UA"/>
        </w:rPr>
        <w:t xml:space="preserve">освоєно коштів за умовами </w:t>
      </w:r>
      <w:r w:rsidR="00632001" w:rsidRPr="00603727">
        <w:rPr>
          <w:lang w:val="uk-UA"/>
        </w:rPr>
        <w:t>Програми</w:t>
      </w:r>
      <w:r w:rsidR="005B6A5B" w:rsidRPr="00603727">
        <w:rPr>
          <w:bCs/>
          <w:lang w:val="uk-UA"/>
        </w:rPr>
        <w:t xml:space="preserve"> </w:t>
      </w:r>
      <w:r w:rsidR="00616F89" w:rsidRPr="00603727">
        <w:rPr>
          <w:bCs/>
          <w:lang w:val="uk-UA"/>
        </w:rPr>
        <w:t xml:space="preserve">за </w:t>
      </w:r>
      <w:r w:rsidR="00D95D74" w:rsidRPr="00603727">
        <w:rPr>
          <w:bCs/>
          <w:lang w:val="uk-UA"/>
        </w:rPr>
        <w:t>1 квартал 202</w:t>
      </w:r>
      <w:r w:rsidR="00102480" w:rsidRPr="00603727">
        <w:rPr>
          <w:bCs/>
          <w:lang w:val="uk-UA"/>
        </w:rPr>
        <w:t>4</w:t>
      </w:r>
      <w:r w:rsidR="00D95D74" w:rsidRPr="00603727">
        <w:rPr>
          <w:bCs/>
          <w:lang w:val="uk-UA"/>
        </w:rPr>
        <w:t xml:space="preserve"> року </w:t>
      </w:r>
      <w:r w:rsidR="00616F89" w:rsidRPr="00603727">
        <w:rPr>
          <w:bCs/>
          <w:lang w:val="uk-UA"/>
        </w:rPr>
        <w:t xml:space="preserve">у сумі </w:t>
      </w:r>
      <w:r w:rsidR="00102480" w:rsidRPr="00603727">
        <w:rPr>
          <w:bCs/>
          <w:lang w:val="uk-UA"/>
        </w:rPr>
        <w:t>6616879,73</w:t>
      </w:r>
      <w:r w:rsidR="00616F89" w:rsidRPr="00603727">
        <w:rPr>
          <w:bCs/>
          <w:lang w:val="uk-UA"/>
        </w:rPr>
        <w:t xml:space="preserve"> грн.</w:t>
      </w:r>
      <w:r w:rsidR="00BC77F4" w:rsidRPr="00603727">
        <w:rPr>
          <w:bCs/>
          <w:lang w:val="uk-UA"/>
        </w:rPr>
        <w:t xml:space="preserve"> </w:t>
      </w:r>
      <w:r w:rsidRPr="00603727">
        <w:rPr>
          <w:bCs/>
          <w:lang w:val="uk-UA"/>
        </w:rPr>
        <w:t xml:space="preserve"> </w:t>
      </w:r>
      <w:r w:rsidR="00BC77F4" w:rsidRPr="00603727">
        <w:rPr>
          <w:bCs/>
          <w:lang w:val="uk-UA"/>
        </w:rPr>
        <w:t xml:space="preserve">Відхилення – </w:t>
      </w:r>
      <w:r w:rsidR="00102480" w:rsidRPr="00603727">
        <w:rPr>
          <w:bCs/>
          <w:lang w:val="uk-UA"/>
        </w:rPr>
        <w:t>9193120,27</w:t>
      </w:r>
      <w:r w:rsidR="00BC77F4" w:rsidRPr="00603727">
        <w:rPr>
          <w:bCs/>
          <w:lang w:val="uk-UA"/>
        </w:rPr>
        <w:t xml:space="preserve"> грн.</w:t>
      </w:r>
      <w:r w:rsidR="009A7F57" w:rsidRPr="00603727">
        <w:rPr>
          <w:bCs/>
          <w:lang w:val="uk-UA"/>
        </w:rPr>
        <w:t xml:space="preserve"> </w:t>
      </w:r>
    </w:p>
    <w:p w:rsidR="006457D5" w:rsidRPr="00603727" w:rsidRDefault="001C646A" w:rsidP="00E6009E">
      <w:pPr>
        <w:ind w:firstLine="284"/>
        <w:contextualSpacing/>
        <w:jc w:val="both"/>
        <w:rPr>
          <w:bCs/>
          <w:lang w:val="uk-UA"/>
        </w:rPr>
      </w:pPr>
      <w:r w:rsidRPr="00603727">
        <w:rPr>
          <w:lang w:val="uk-UA"/>
        </w:rPr>
        <w:lastRenderedPageBreak/>
        <w:t xml:space="preserve">В результаті реалізації </w:t>
      </w:r>
      <w:r w:rsidR="00B710B2" w:rsidRPr="00603727">
        <w:rPr>
          <w:lang w:val="uk-UA"/>
        </w:rPr>
        <w:t xml:space="preserve">програмних </w:t>
      </w:r>
      <w:r w:rsidRPr="00603727">
        <w:rPr>
          <w:lang w:val="uk-UA"/>
        </w:rPr>
        <w:t>завдань</w:t>
      </w:r>
      <w:r w:rsidR="00B710B2" w:rsidRPr="00603727">
        <w:rPr>
          <w:lang w:val="uk-UA"/>
        </w:rPr>
        <w:t>,</w:t>
      </w:r>
      <w:r w:rsidRPr="00603727">
        <w:rPr>
          <w:lang w:val="uk-UA"/>
        </w:rPr>
        <w:t xml:space="preserve"> виконавцем яких </w:t>
      </w:r>
      <w:r w:rsidR="00B710B2" w:rsidRPr="00603727">
        <w:rPr>
          <w:lang w:val="uk-UA"/>
        </w:rPr>
        <w:t>визначено</w:t>
      </w:r>
      <w:r w:rsidRPr="00603727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603727">
        <w:rPr>
          <w:lang w:val="uk-UA"/>
        </w:rPr>
        <w:t>було досягнуто мети програми в частині:</w:t>
      </w:r>
    </w:p>
    <w:p w:rsidR="00B710B2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60372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603727">
        <w:rPr>
          <w:lang w:val="uk-UA"/>
        </w:rPr>
        <w:t>с</w:t>
      </w:r>
      <w:proofErr w:type="spellStart"/>
      <w:r w:rsidRPr="00603727">
        <w:t>творення</w:t>
      </w:r>
      <w:proofErr w:type="spellEnd"/>
      <w:r w:rsidRPr="00603727">
        <w:t xml:space="preserve"> </w:t>
      </w:r>
      <w:proofErr w:type="spellStart"/>
      <w:r w:rsidRPr="00603727">
        <w:t>комфортних</w:t>
      </w:r>
      <w:proofErr w:type="spellEnd"/>
      <w:r w:rsidRPr="00603727">
        <w:t xml:space="preserve"> умов </w:t>
      </w:r>
      <w:proofErr w:type="spellStart"/>
      <w:r w:rsidRPr="00603727">
        <w:t>проживання</w:t>
      </w:r>
      <w:proofErr w:type="spellEnd"/>
      <w:r w:rsidRPr="00603727">
        <w:t xml:space="preserve"> для </w:t>
      </w:r>
      <w:proofErr w:type="spellStart"/>
      <w:r w:rsidRPr="00603727">
        <w:t>мешканців</w:t>
      </w:r>
      <w:proofErr w:type="spellEnd"/>
      <w:r w:rsidRPr="00603727">
        <w:t xml:space="preserve"> </w:t>
      </w:r>
      <w:proofErr w:type="spellStart"/>
      <w:r w:rsidRPr="00603727">
        <w:t>і</w:t>
      </w:r>
      <w:proofErr w:type="spellEnd"/>
      <w:r w:rsidRPr="00603727">
        <w:t xml:space="preserve"> гостей </w:t>
      </w:r>
      <w:r w:rsidRPr="00603727">
        <w:rPr>
          <w:lang w:val="uk-UA"/>
        </w:rPr>
        <w:t>міста.</w:t>
      </w:r>
    </w:p>
    <w:p w:rsidR="00211268" w:rsidRPr="00603727" w:rsidRDefault="00211268" w:rsidP="00E6009E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603727" w:rsidRDefault="00A64B2F" w:rsidP="00E6009E">
      <w:pPr>
        <w:contextualSpacing/>
        <w:jc w:val="both"/>
        <w:rPr>
          <w:lang w:val="uk-UA"/>
        </w:rPr>
      </w:pPr>
    </w:p>
    <w:p w:rsidR="00103180" w:rsidRPr="000C6A29" w:rsidRDefault="00103180" w:rsidP="00E6009E">
      <w:pPr>
        <w:contextualSpacing/>
        <w:jc w:val="both"/>
        <w:rPr>
          <w:lang w:val="uk-UA"/>
        </w:rPr>
      </w:pPr>
    </w:p>
    <w:sectPr w:rsidR="00103180" w:rsidRPr="000C6A29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6658"/>
    <w:rsid w:val="000105D9"/>
    <w:rsid w:val="00012747"/>
    <w:rsid w:val="00014489"/>
    <w:rsid w:val="00023FDB"/>
    <w:rsid w:val="00025E61"/>
    <w:rsid w:val="00027E89"/>
    <w:rsid w:val="00033E60"/>
    <w:rsid w:val="00034304"/>
    <w:rsid w:val="00034E2C"/>
    <w:rsid w:val="00040F50"/>
    <w:rsid w:val="000460F3"/>
    <w:rsid w:val="00050434"/>
    <w:rsid w:val="000527CE"/>
    <w:rsid w:val="00055360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A07"/>
    <w:rsid w:val="00102480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410B"/>
    <w:rsid w:val="001B07A4"/>
    <w:rsid w:val="001B233A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69C0"/>
    <w:rsid w:val="0029740B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EDA"/>
    <w:rsid w:val="004447F6"/>
    <w:rsid w:val="00445A58"/>
    <w:rsid w:val="004469E5"/>
    <w:rsid w:val="004507BD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3A3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7637"/>
    <w:rsid w:val="005179AE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65F8"/>
    <w:rsid w:val="005E019D"/>
    <w:rsid w:val="005E1BCA"/>
    <w:rsid w:val="005E59FA"/>
    <w:rsid w:val="005E5ECE"/>
    <w:rsid w:val="005E64AF"/>
    <w:rsid w:val="005F2EF2"/>
    <w:rsid w:val="005F3AD7"/>
    <w:rsid w:val="00603727"/>
    <w:rsid w:val="00605CD8"/>
    <w:rsid w:val="00606716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728AC"/>
    <w:rsid w:val="00673EB1"/>
    <w:rsid w:val="00676803"/>
    <w:rsid w:val="00680EDB"/>
    <w:rsid w:val="00681AA8"/>
    <w:rsid w:val="0068470F"/>
    <w:rsid w:val="00684894"/>
    <w:rsid w:val="00687766"/>
    <w:rsid w:val="00690733"/>
    <w:rsid w:val="006937AA"/>
    <w:rsid w:val="00694368"/>
    <w:rsid w:val="006945BF"/>
    <w:rsid w:val="00694769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42297"/>
    <w:rsid w:val="00742794"/>
    <w:rsid w:val="00743223"/>
    <w:rsid w:val="0075469C"/>
    <w:rsid w:val="007561E8"/>
    <w:rsid w:val="007569F4"/>
    <w:rsid w:val="00763FF1"/>
    <w:rsid w:val="007806E0"/>
    <w:rsid w:val="007810A0"/>
    <w:rsid w:val="00782D9C"/>
    <w:rsid w:val="007857E6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A1D6A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590"/>
    <w:rsid w:val="007F1D04"/>
    <w:rsid w:val="007F2D54"/>
    <w:rsid w:val="007F3B9A"/>
    <w:rsid w:val="007F3CE1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C7746"/>
    <w:rsid w:val="008D0CA8"/>
    <w:rsid w:val="008D1B14"/>
    <w:rsid w:val="008D2789"/>
    <w:rsid w:val="008E0054"/>
    <w:rsid w:val="008E479A"/>
    <w:rsid w:val="008E6DCB"/>
    <w:rsid w:val="009052E4"/>
    <w:rsid w:val="0090727A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C12E9"/>
    <w:rsid w:val="009C51B6"/>
    <w:rsid w:val="009D5EC8"/>
    <w:rsid w:val="009D632A"/>
    <w:rsid w:val="009E1888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1695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84926"/>
    <w:rsid w:val="00A90281"/>
    <w:rsid w:val="00A9030C"/>
    <w:rsid w:val="00A95C0B"/>
    <w:rsid w:val="00AA2F73"/>
    <w:rsid w:val="00AB2D82"/>
    <w:rsid w:val="00AB6A6E"/>
    <w:rsid w:val="00AC0529"/>
    <w:rsid w:val="00AC142E"/>
    <w:rsid w:val="00AC1B96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27CA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044FF"/>
    <w:rsid w:val="00C0525C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60E4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5D74"/>
    <w:rsid w:val="00D96397"/>
    <w:rsid w:val="00DA0BDF"/>
    <w:rsid w:val="00DA1751"/>
    <w:rsid w:val="00DB15C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3AB5"/>
    <w:rsid w:val="00E34DAA"/>
    <w:rsid w:val="00E4207D"/>
    <w:rsid w:val="00E473FA"/>
    <w:rsid w:val="00E507C2"/>
    <w:rsid w:val="00E6009E"/>
    <w:rsid w:val="00E62F8B"/>
    <w:rsid w:val="00E636BE"/>
    <w:rsid w:val="00E7598E"/>
    <w:rsid w:val="00E7692A"/>
    <w:rsid w:val="00E9207B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4164"/>
    <w:rsid w:val="00F80852"/>
    <w:rsid w:val="00F809A0"/>
    <w:rsid w:val="00F82DB0"/>
    <w:rsid w:val="00F831B5"/>
    <w:rsid w:val="00F93A3C"/>
    <w:rsid w:val="00F975CB"/>
    <w:rsid w:val="00F97616"/>
    <w:rsid w:val="00FA01AE"/>
    <w:rsid w:val="00FA4E7E"/>
    <w:rsid w:val="00FB31E4"/>
    <w:rsid w:val="00FB34A8"/>
    <w:rsid w:val="00FB4308"/>
    <w:rsid w:val="00FE2633"/>
    <w:rsid w:val="00FE3B1C"/>
    <w:rsid w:val="00FF19C5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0387-2E03-4922-A079-3C779ABA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2024-04-05T06:24:00Z</cp:lastPrinted>
  <dcterms:created xsi:type="dcterms:W3CDTF">2024-04-02T13:47:00Z</dcterms:created>
  <dcterms:modified xsi:type="dcterms:W3CDTF">2024-04-05T06:25:00Z</dcterms:modified>
</cp:coreProperties>
</file>