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7"/>
        <w:gridCol w:w="15938"/>
        <w:gridCol w:w="1544"/>
      </w:tblGrid>
      <w:tr w:rsidR="00BE7641" w:rsidRPr="00BE7641" w:rsidTr="005C392E">
        <w:trPr>
          <w:jc w:val="center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41" w:rsidRPr="00BE7641" w:rsidRDefault="00B34F0A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tbl>
            <w:tblPr>
              <w:tblW w:w="14681" w:type="dxa"/>
              <w:jc w:val="right"/>
              <w:tblLook w:val="04A0" w:firstRow="1" w:lastRow="0" w:firstColumn="1" w:lastColumn="0" w:noHBand="0" w:noVBand="1"/>
            </w:tblPr>
            <w:tblGrid>
              <w:gridCol w:w="7757"/>
              <w:gridCol w:w="6924"/>
            </w:tblGrid>
            <w:tr w:rsidR="00BE7641" w:rsidRPr="00BE7641" w:rsidTr="00ED180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E7641" w:rsidRPr="00BE7641" w:rsidRDefault="00BE7641" w:rsidP="00BE7641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4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Додаток  4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 Порядку розроблення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 Ніжинської територіальної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громади, затвердження, моніторингу та 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звітності про їх виконання </w:t>
                  </w:r>
                </w:p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E7641" w:rsidRPr="00BE7641" w:rsidRDefault="00BE7641" w:rsidP="00BE764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Інформація про виконання програми станом на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01.</w:t>
            </w:r>
            <w:r w:rsidR="00145FA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0</w:t>
            </w:r>
            <w:r w:rsidR="00A25F38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.202</w:t>
            </w:r>
            <w:r w:rsidR="00145FA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року</w:t>
            </w: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BE7641" w:rsidRPr="00BE7641" w:rsidRDefault="00B43994" w:rsidP="00B4399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="00BE7641" w:rsidRPr="00BE76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рограма </w:t>
            </w:r>
            <w:bookmarkStart w:id="0" w:name="_Hlk83719208"/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допризовної підготовки</w:t>
            </w:r>
            <w:r w:rsidR="00987B5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050A6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мобілізаційних заходів Ніжинської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міської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територіальної громади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202</w:t>
            </w:r>
            <w:r w:rsidR="00CD2F0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рік</w:t>
            </w:r>
            <w:bookmarkEnd w:id="0"/>
          </w:p>
          <w:p w:rsidR="005C392E" w:rsidRDefault="005C392E" w:rsidP="00B43994">
            <w:pPr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затверджена рішенням Ніжинської міської ради 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val="en-US" w:eastAsia="ru-RU"/>
              </w:rPr>
              <w:t>VIII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скликання </w:t>
            </w:r>
            <w:r w:rsidRPr="008B57B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CD2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8B5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CD2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Pr="008B5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/202</w:t>
            </w:r>
            <w:r w:rsidR="00CD2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B57B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від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  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07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грудня 202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2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року, зі змінами, внесеними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р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іше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нням</w:t>
            </w:r>
            <w:r w:rsidR="00050A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</w:t>
            </w:r>
            <w:r w:rsidR="00CD2F09" w:rsidRPr="00CD2F09"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  <w:t>міської ради</w:t>
            </w:r>
            <w:r w:rsidR="00CD2F09">
              <w:rPr>
                <w:snapToGrid w:val="0"/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від 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2</w:t>
            </w:r>
            <w:r w:rsidR="0033120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8</w:t>
            </w:r>
            <w:bookmarkStart w:id="1" w:name="_GoBack"/>
            <w:bookmarkEnd w:id="1"/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3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.202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№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21-29/2023</w:t>
            </w:r>
            <w:r w:rsidR="007D314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, </w:t>
            </w:r>
            <w:r w:rsidR="000B6A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від 20.06.2023 № 10-31/2023</w:t>
            </w:r>
            <w:r w:rsidR="007D314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та від 10.08.2023 № 22-32/2023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(назва програми дата і номер рішення міської ради про її затвердження, в т.ч. зі змінами)</w:t>
            </w:r>
          </w:p>
          <w:p w:rsid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Pr="00BE7641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180"/>
              <w:gridCol w:w="973"/>
              <w:gridCol w:w="8953"/>
            </w:tblGrid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en-US" w:eastAsia="ru-RU"/>
                    </w:rPr>
                    <w:t>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>218220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 xml:space="preserve">Заходи та </w:t>
                  </w:r>
                  <w:r w:rsidRPr="00616D42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  <w:t>роботи з мобілізаційної підготовки місцевого значення</w:t>
                  </w:r>
                </w:p>
              </w:tc>
            </w:tr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(найменування  бюджетної програми) 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 Аналіз виконання за видатками в цілому за програмою: 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862" w:type="dxa"/>
              <w:jc w:val="center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272"/>
              <w:gridCol w:w="1273"/>
              <w:gridCol w:w="1128"/>
              <w:gridCol w:w="1268"/>
              <w:gridCol w:w="1412"/>
              <w:gridCol w:w="1220"/>
              <w:gridCol w:w="1134"/>
              <w:gridCol w:w="1406"/>
              <w:gridCol w:w="3529"/>
            </w:tblGrid>
            <w:tr w:rsidR="00652A41" w:rsidRPr="00BE7641" w:rsidTr="00E20E44">
              <w:trPr>
                <w:cantSplit/>
                <w:trHeight w:val="293"/>
                <w:jc w:val="center"/>
              </w:trPr>
              <w:tc>
                <w:tcPr>
                  <w:tcW w:w="376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8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Касові видатки</w:t>
                  </w:r>
                </w:p>
              </w:tc>
              <w:tc>
                <w:tcPr>
                  <w:tcW w:w="37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Відхилення</w:t>
                  </w:r>
                </w:p>
              </w:tc>
              <w:tc>
                <w:tcPr>
                  <w:tcW w:w="35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652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Пояснення відхилення</w:t>
                  </w:r>
                </w:p>
              </w:tc>
            </w:tr>
            <w:tr w:rsidR="00652A41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</w:t>
                  </w:r>
                </w:p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фонд</w:t>
                  </w:r>
                </w:p>
              </w:tc>
              <w:tc>
                <w:tcPr>
                  <w:tcW w:w="35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32D6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157CCE" w:rsidRDefault="00157CCE" w:rsidP="00987B5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7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157CCE" w:rsidP="00987B5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7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932D6" w:rsidP="008B57B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961C05" w:rsidP="00616D42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156 531,18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961C05" w:rsidP="00157C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156 531,18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932D6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961C05" w:rsidP="00E932D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-303 468,82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961C05" w:rsidP="00E20E4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-303 468,82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932D6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32D6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 xml:space="preserve">Залишок плану </w:t>
                  </w:r>
                </w:p>
                <w:p w:rsidR="00961C05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:rsidR="00961C05" w:rsidRPr="005F2D6D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7B5E" w:rsidRDefault="00987B5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05" w:rsidRDefault="00961C05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E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Напрями діяльності та завдання місцевої/ регіональної цільової програми</w:t>
            </w:r>
          </w:p>
          <w:tbl>
            <w:tblPr>
              <w:tblW w:w="15435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5388"/>
              <w:gridCol w:w="1701"/>
              <w:gridCol w:w="1125"/>
              <w:gridCol w:w="1004"/>
              <w:gridCol w:w="992"/>
              <w:gridCol w:w="1134"/>
              <w:gridCol w:w="3356"/>
              <w:gridCol w:w="28"/>
            </w:tblGrid>
            <w:tr w:rsidR="00C74C3A" w:rsidRPr="00622DBA" w:rsidTr="00622DBA">
              <w:trPr>
                <w:cantSplit/>
                <w:trHeight w:val="717"/>
              </w:trPr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з/п</w:t>
                  </w:r>
                </w:p>
              </w:tc>
              <w:tc>
                <w:tcPr>
                  <w:tcW w:w="5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Завдання/</w:t>
                  </w:r>
                </w:p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напрями/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заходи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Відповідальний виконавець</w:t>
                  </w:r>
                </w:p>
              </w:tc>
              <w:tc>
                <w:tcPr>
                  <w:tcW w:w="2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Планові  обсяги фінансування, грн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Фактичні  обсяги фінансування, грн</w:t>
                  </w:r>
                </w:p>
              </w:tc>
              <w:tc>
                <w:tcPr>
                  <w:tcW w:w="33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 виконання завдань (результативні показники виконання програми)</w:t>
                  </w:r>
                </w:p>
              </w:tc>
            </w:tr>
            <w:tr w:rsidR="00C74C3A" w:rsidRPr="00BE7641" w:rsidTr="002F62FE">
              <w:trPr>
                <w:cantSplit/>
                <w:trHeight w:val="543"/>
              </w:trPr>
              <w:tc>
                <w:tcPr>
                  <w:tcW w:w="7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  <w:tc>
                <w:tcPr>
                  <w:tcW w:w="53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33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E7641" w:rsidRPr="00BE7641" w:rsidTr="00ED180E">
              <w:trPr>
                <w:cantSplit/>
                <w:trHeight w:val="4395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05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Завдання 1. 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Транспортні перевезення: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      </w:r>
                  <w:r w:rsidR="00E20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</w:t>
                  </w:r>
                  <w:r w:rsidR="0005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ення занять, навчальних зборів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B1621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  <w:r w:rsidR="00C74C3A"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5F2D6D" w:rsidRDefault="005F2D6D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2D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6342,18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5F2D6D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F2D6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5F2D6D" w:rsidP="00E20E4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Забезпечено транспортними послугами відповідно до поданих заявок</w:t>
                  </w:r>
                </w:p>
              </w:tc>
            </w:tr>
            <w:tr w:rsidR="00BE7641" w:rsidRPr="00BE7641" w:rsidTr="00C74C3A">
              <w:trPr>
                <w:gridAfter w:val="1"/>
                <w:wAfter w:w="28" w:type="dxa"/>
                <w:cantSplit/>
                <w:trHeight w:val="2117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2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05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 Завдання 2. </w:t>
                  </w:r>
                  <w:r w:rsidR="0005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Відшкодування за надання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послуг </w:t>
                  </w:r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      </w:r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SARS</w:t>
                  </w:r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</w:t>
                  </w:r>
                  <w:proofErr w:type="spellStart"/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CoV</w:t>
                  </w:r>
                  <w:proofErr w:type="spellEnd"/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-2 громадянам допризовного та призовного віку</w:t>
                  </w:r>
                  <w:r w:rsidR="00C74C3A" w:rsidRPr="00DA76C9">
                    <w:rPr>
                      <w:rFonts w:eastAsia="Courier New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EA5C5F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D327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C74C3A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FA553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145 521,00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C74C3A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D327EE" w:rsidP="00C74C3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Відшкодування послуг з проведення медичних оглядів  207 громадян України, які приписані до призовної дільниці Ніжинського РТЦК та СП</w:t>
                  </w:r>
                </w:p>
              </w:tc>
            </w:tr>
            <w:tr w:rsidR="002F62FE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3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2F62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Завдання </w:t>
                  </w:r>
                  <w:r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>5</w:t>
                  </w: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Забезпечення проведення заходів мобілізаційної підготовки та мобілізації :</w:t>
                  </w:r>
                </w:p>
                <w:p w:rsidR="002F62FE" w:rsidRDefault="002F62FE" w:rsidP="002F62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-послуги поштового зв’язку (оренда абонентської скриньки, тощо);</w:t>
                  </w:r>
                </w:p>
                <w:p w:rsidR="002F62FE" w:rsidRPr="00BE7641" w:rsidRDefault="002F62FE" w:rsidP="002F62FE">
                  <w:pPr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-придбання поштових конвертів, марок, тощо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FB79C1" w:rsidRDefault="00FB79C1" w:rsidP="00961C05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4668</w:t>
                  </w:r>
                  <w:r w:rsidR="00961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FB79C1" w:rsidP="00FB79C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Придбання конвертів  та марок Ніжинському РТЦК та СП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 xml:space="preserve">та </w:t>
            </w:r>
            <w:proofErr w:type="spellStart"/>
            <w:proofErr w:type="gramStart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</w:t>
            </w:r>
            <w:proofErr w:type="gram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ізвище</w:t>
            </w:r>
            <w:proofErr w:type="spell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)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496502" w:rsidRPr="00616D42" w:rsidRDefault="005F2D6D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</w:t>
      </w:r>
      <w:r w:rsidR="00496502" w:rsidRPr="00FB5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ступник </w:t>
      </w:r>
      <w:proofErr w:type="gramStart"/>
      <w:r w:rsidR="00496502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496502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 голови з питань</w:t>
      </w:r>
    </w:p>
    <w:p w:rsidR="00496502" w:rsidRPr="00616D42" w:rsidRDefault="00496502" w:rsidP="00FB50CE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                            ______________________________      </w:t>
      </w:r>
      <w:r w:rsidR="005F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СМАГА</w:t>
      </w:r>
    </w:p>
    <w:p w:rsidR="00496502" w:rsidRPr="00616D42" w:rsidRDefault="00496502" w:rsidP="00496502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</w:t>
      </w:r>
      <w:r w:rsidR="00FB50CE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(підпис)</w:t>
      </w:r>
    </w:p>
    <w:p w:rsidR="00B16214" w:rsidRDefault="00295ADF" w:rsidP="00295ADF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="00B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622DBA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ЄФІМЕНКО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622DBA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16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FF065F" w:rsidRDefault="00B16214" w:rsidP="00850D62">
      <w:pPr>
        <w:spacing w:after="0" w:line="252" w:lineRule="auto"/>
        <w:ind w:right="-42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sectPr w:rsidR="00FF065F" w:rsidSect="00B16214">
      <w:pgSz w:w="16838" w:h="11906" w:orient="landscape"/>
      <w:pgMar w:top="709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2983"/>
    <w:multiLevelType w:val="hybridMultilevel"/>
    <w:tmpl w:val="09AA1756"/>
    <w:lvl w:ilvl="0" w:tplc="A0AA0D86">
      <w:start w:val="201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48F4"/>
    <w:rsid w:val="00050A6C"/>
    <w:rsid w:val="00054CF5"/>
    <w:rsid w:val="000B6A88"/>
    <w:rsid w:val="000D48F4"/>
    <w:rsid w:val="00145FA4"/>
    <w:rsid w:val="00157CCE"/>
    <w:rsid w:val="001D11DC"/>
    <w:rsid w:val="0020221C"/>
    <w:rsid w:val="00295ADF"/>
    <w:rsid w:val="002A6580"/>
    <w:rsid w:val="002B3A0E"/>
    <w:rsid w:val="002F62FE"/>
    <w:rsid w:val="0033120B"/>
    <w:rsid w:val="003B7C38"/>
    <w:rsid w:val="003E35A7"/>
    <w:rsid w:val="00404FB1"/>
    <w:rsid w:val="00496502"/>
    <w:rsid w:val="00537F6E"/>
    <w:rsid w:val="0056052A"/>
    <w:rsid w:val="005C392E"/>
    <w:rsid w:val="005F2D6D"/>
    <w:rsid w:val="00616D42"/>
    <w:rsid w:val="00622DBA"/>
    <w:rsid w:val="00652A41"/>
    <w:rsid w:val="00652F16"/>
    <w:rsid w:val="007335AD"/>
    <w:rsid w:val="007414F6"/>
    <w:rsid w:val="007D314B"/>
    <w:rsid w:val="007D6AB2"/>
    <w:rsid w:val="00850D62"/>
    <w:rsid w:val="00890F4A"/>
    <w:rsid w:val="008B57B3"/>
    <w:rsid w:val="00943DC8"/>
    <w:rsid w:val="00946C36"/>
    <w:rsid w:val="00961C05"/>
    <w:rsid w:val="00987B5E"/>
    <w:rsid w:val="00A25F38"/>
    <w:rsid w:val="00A82622"/>
    <w:rsid w:val="00B16214"/>
    <w:rsid w:val="00B34F0A"/>
    <w:rsid w:val="00B43994"/>
    <w:rsid w:val="00B43FF3"/>
    <w:rsid w:val="00B64A2B"/>
    <w:rsid w:val="00BE7641"/>
    <w:rsid w:val="00C07F20"/>
    <w:rsid w:val="00C74C3A"/>
    <w:rsid w:val="00CD2F09"/>
    <w:rsid w:val="00D327EE"/>
    <w:rsid w:val="00DD3EE8"/>
    <w:rsid w:val="00E20E44"/>
    <w:rsid w:val="00E932D6"/>
    <w:rsid w:val="00EA2681"/>
    <w:rsid w:val="00EA5C5F"/>
    <w:rsid w:val="00F049DD"/>
    <w:rsid w:val="00FA5533"/>
    <w:rsid w:val="00FB50CE"/>
    <w:rsid w:val="00FB79C1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2971</Words>
  <Characters>1695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Нікіфорова Людмила</cp:lastModifiedBy>
  <cp:revision>4</cp:revision>
  <cp:lastPrinted>2024-01-05T08:12:00Z</cp:lastPrinted>
  <dcterms:created xsi:type="dcterms:W3CDTF">2024-01-05T04:27:00Z</dcterms:created>
  <dcterms:modified xsi:type="dcterms:W3CDTF">2024-01-08T21:40:00Z</dcterms:modified>
</cp:coreProperties>
</file>