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64E45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364E45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F96161" w:rsidP="00F96161">
            <w:pPr>
              <w:jc w:val="center"/>
              <w:rPr>
                <w:bCs/>
                <w:sz w:val="28"/>
                <w:u w:val="single"/>
              </w:rPr>
            </w:pPr>
            <w:r w:rsidRPr="00F96161">
              <w:rPr>
                <w:bCs/>
                <w:sz w:val="28"/>
                <w:u w:val="single"/>
              </w:rPr>
              <w:t>Міська цільова програма з капітального ремонту ліфтів в багатоквартирних житлових будинках Ніжинської міської територіальної громади на 2023 рік</w:t>
            </w:r>
          </w:p>
          <w:p w:rsidR="00D506A8" w:rsidRPr="006E1228" w:rsidRDefault="00D506A8" w:rsidP="00F96161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2B4C36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F96161">
              <w:rPr>
                <w:color w:val="0070C0"/>
                <w:sz w:val="28"/>
                <w:szCs w:val="28"/>
                <w:u w:val="single"/>
              </w:rPr>
              <w:t>№ 8-32</w:t>
            </w:r>
            <w:r w:rsidR="00445631">
              <w:rPr>
                <w:color w:val="0070C0"/>
                <w:sz w:val="28"/>
                <w:szCs w:val="28"/>
                <w:u w:val="single"/>
              </w:rPr>
              <w:t>/2023</w:t>
            </w:r>
            <w:r w:rsidR="003C014E" w:rsidRPr="0018372A">
              <w:rPr>
                <w:color w:val="0070C0"/>
                <w:sz w:val="28"/>
                <w:szCs w:val="28"/>
                <w:u w:val="single"/>
              </w:rPr>
              <w:t xml:space="preserve">  від </w:t>
            </w:r>
            <w:r w:rsidR="00F96161">
              <w:rPr>
                <w:color w:val="0070C0"/>
                <w:sz w:val="28"/>
                <w:szCs w:val="28"/>
                <w:u w:val="single"/>
              </w:rPr>
              <w:t>10.08</w:t>
            </w:r>
            <w:r w:rsidR="00445631">
              <w:rPr>
                <w:color w:val="0070C0"/>
                <w:sz w:val="28"/>
                <w:szCs w:val="28"/>
                <w:u w:val="single"/>
              </w:rPr>
              <w:t>.2023</w:t>
            </w:r>
            <w:r w:rsidR="003C014E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3C014E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226E4">
              <w:rPr>
                <w:color w:val="000000"/>
                <w:sz w:val="28"/>
                <w:u w:val="single"/>
              </w:rPr>
              <w:t>.</w:t>
            </w:r>
            <w:r w:rsidR="006226E4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843"/>
        <w:gridCol w:w="1843"/>
      </w:tblGrid>
      <w:tr w:rsidR="00D506A8" w:rsidRPr="00344C20" w:rsidTr="003C014E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D86252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2 570 000,00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D86252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2 570 000,00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D86252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2 070 702,55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D86252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2 070 702,55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F96161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86252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-499 297,45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86252" w:rsidP="004B22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-499 297,45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9B5F4B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10"/>
        <w:gridCol w:w="6731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32083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color w:val="000000"/>
              </w:rPr>
              <w:t>Е</w:t>
            </w:r>
            <w:r w:rsidRPr="00533AE2">
              <w:rPr>
                <w:color w:val="000000"/>
              </w:rPr>
              <w:t>кспертне обстеження технічного стану та позачерговог</w:t>
            </w:r>
            <w:r>
              <w:rPr>
                <w:color w:val="000000"/>
              </w:rPr>
              <w:t>о технічного огляду ліфтів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D86252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2 570 000,00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D86252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2 070 702,55</w:t>
            </w:r>
          </w:p>
        </w:tc>
        <w:tc>
          <w:tcPr>
            <w:tcW w:w="6732" w:type="dxa"/>
            <w:vAlign w:val="center"/>
          </w:tcPr>
          <w:p w:rsidR="007112F9" w:rsidRPr="00AC485D" w:rsidRDefault="00AC485D" w:rsidP="00AC485D">
            <w:pPr>
              <w:spacing w:line="360" w:lineRule="auto"/>
              <w:rPr>
                <w:snapToGrid w:val="0"/>
                <w:highlight w:val="yellow"/>
                <w:lang w:val="ru-RU"/>
              </w:rPr>
            </w:pPr>
            <w:r>
              <w:rPr>
                <w:shd w:val="clear" w:color="auto" w:fill="FFFFFF"/>
              </w:rPr>
              <w:t>З</w:t>
            </w:r>
            <w:r w:rsidRPr="00AC485D">
              <w:rPr>
                <w:shd w:val="clear" w:color="auto" w:fill="FFFFFF"/>
              </w:rPr>
              <w:t>а проведення е</w:t>
            </w:r>
            <w:r w:rsidR="00627143">
              <w:rPr>
                <w:shd w:val="clear" w:color="auto" w:fill="FFFFFF"/>
              </w:rPr>
              <w:t>кспертизи пасажирських ліфтів 17</w:t>
            </w:r>
            <w:r w:rsidRPr="00AC485D">
              <w:rPr>
                <w:shd w:val="clear" w:color="auto" w:fill="FFFFFF"/>
              </w:rPr>
              <w:t xml:space="preserve"> </w:t>
            </w:r>
            <w:proofErr w:type="spellStart"/>
            <w:r w:rsidRPr="00AC485D">
              <w:rPr>
                <w:shd w:val="clear" w:color="auto" w:fill="FFFFFF"/>
              </w:rPr>
              <w:t>шт</w:t>
            </w:r>
            <w:proofErr w:type="spellEnd"/>
            <w:r w:rsidRPr="00AC485D">
              <w:rPr>
                <w:shd w:val="clear" w:color="auto" w:fill="FFFFFF"/>
              </w:rPr>
              <w:t xml:space="preserve"> - </w:t>
            </w:r>
            <w:r w:rsidRPr="00AC485D">
              <w:rPr>
                <w:bCs/>
                <w:shd w:val="clear" w:color="auto" w:fill="FFFFFF"/>
              </w:rPr>
              <w:t>ТОВ"</w:t>
            </w:r>
            <w:proofErr w:type="spellStart"/>
            <w:r w:rsidRPr="00AC485D">
              <w:rPr>
                <w:bCs/>
                <w:shd w:val="clear" w:color="auto" w:fill="FFFFFF"/>
              </w:rPr>
              <w:t>Чернiгiвський</w:t>
            </w:r>
            <w:proofErr w:type="spellEnd"/>
            <w:r w:rsidRPr="00AC485D">
              <w:rPr>
                <w:bCs/>
                <w:shd w:val="clear" w:color="auto" w:fill="FFFFFF"/>
              </w:rPr>
              <w:t xml:space="preserve"> ЕТЦ БП"</w:t>
            </w:r>
            <w:r w:rsidR="00627143">
              <w:rPr>
                <w:bCs/>
                <w:shd w:val="clear" w:color="auto" w:fill="FFFFFF"/>
              </w:rPr>
              <w:t xml:space="preserve">. Капітальний ремонт 7 </w:t>
            </w:r>
            <w:proofErr w:type="spellStart"/>
            <w:r w:rsidR="00627143">
              <w:rPr>
                <w:bCs/>
                <w:shd w:val="clear" w:color="auto" w:fill="FFFFFF"/>
              </w:rPr>
              <w:t>шт</w:t>
            </w:r>
            <w:proofErr w:type="spellEnd"/>
            <w:r w:rsidR="00627143">
              <w:rPr>
                <w:bCs/>
                <w:shd w:val="clear" w:color="auto" w:fill="FFFFFF"/>
              </w:rPr>
              <w:t xml:space="preserve">  ліфтів проведений за адресами  вул.. </w:t>
            </w:r>
            <w:proofErr w:type="spellStart"/>
            <w:r w:rsidR="00627143">
              <w:rPr>
                <w:bCs/>
                <w:shd w:val="clear" w:color="auto" w:fill="FFFFFF"/>
              </w:rPr>
              <w:t>Мацієвського</w:t>
            </w:r>
            <w:proofErr w:type="spellEnd"/>
            <w:r w:rsidR="00627143">
              <w:rPr>
                <w:bCs/>
                <w:shd w:val="clear" w:color="auto" w:fill="FFFFFF"/>
              </w:rPr>
              <w:t xml:space="preserve"> буд.12 п 1, буд 9 п 1,2, вул.. Академіка Амосова буд 11 п1,2, вул. Шевченка буд 120 п 1,2. Спів фінансування  мешканців на суму 189 131,99 грн. 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32083C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2083C" w:rsidRPr="006D79D7" w:rsidRDefault="00D86252" w:rsidP="005121B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2 570 000,00</w:t>
            </w:r>
            <w:r w:rsidR="0032083C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32083C" w:rsidRPr="00CB0A9F" w:rsidRDefault="0032083C" w:rsidP="005121B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2083C" w:rsidRPr="00CB0A9F" w:rsidRDefault="00D86252" w:rsidP="0051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2 070 702,55</w:t>
            </w: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26186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FC" w:rsidRDefault="003A34FC" w:rsidP="001C199B">
      <w:r>
        <w:separator/>
      </w:r>
    </w:p>
  </w:endnote>
  <w:endnote w:type="continuationSeparator" w:id="0">
    <w:p w:rsidR="003A34FC" w:rsidRDefault="003A34F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D05A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D05A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27143">
      <w:rPr>
        <w:rStyle w:val="a7"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FC" w:rsidRDefault="003A34FC" w:rsidP="001C199B">
      <w:r>
        <w:separator/>
      </w:r>
    </w:p>
  </w:footnote>
  <w:footnote w:type="continuationSeparator" w:id="0">
    <w:p w:rsidR="003A34FC" w:rsidRDefault="003A34F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701CA"/>
    <w:rsid w:val="00070A4F"/>
    <w:rsid w:val="0007198B"/>
    <w:rsid w:val="00087428"/>
    <w:rsid w:val="00087D1F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54986"/>
    <w:rsid w:val="00261864"/>
    <w:rsid w:val="0026523E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51E58"/>
    <w:rsid w:val="00552E08"/>
    <w:rsid w:val="00573496"/>
    <w:rsid w:val="00583CB5"/>
    <w:rsid w:val="00595F97"/>
    <w:rsid w:val="005A1FD7"/>
    <w:rsid w:val="005A6FF4"/>
    <w:rsid w:val="005B1DBB"/>
    <w:rsid w:val="005B2C0E"/>
    <w:rsid w:val="005B6356"/>
    <w:rsid w:val="005C0995"/>
    <w:rsid w:val="005D05A4"/>
    <w:rsid w:val="005D267A"/>
    <w:rsid w:val="005D579D"/>
    <w:rsid w:val="00602BE0"/>
    <w:rsid w:val="00605582"/>
    <w:rsid w:val="006226E4"/>
    <w:rsid w:val="00624C72"/>
    <w:rsid w:val="00627143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6A8A"/>
    <w:rsid w:val="007A236D"/>
    <w:rsid w:val="007A721E"/>
    <w:rsid w:val="007B1B5C"/>
    <w:rsid w:val="007B274A"/>
    <w:rsid w:val="007B789A"/>
    <w:rsid w:val="007C00F3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C485D"/>
    <w:rsid w:val="00AE2418"/>
    <w:rsid w:val="00AE7B63"/>
    <w:rsid w:val="00AF3BD1"/>
    <w:rsid w:val="00AF477C"/>
    <w:rsid w:val="00B0466D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F3773C"/>
    <w:rsid w:val="00F458F5"/>
    <w:rsid w:val="00F51F9C"/>
    <w:rsid w:val="00F92CBA"/>
    <w:rsid w:val="00F96161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926A-1944-48BE-9601-D08095E9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26</cp:revision>
  <cp:lastPrinted>2023-07-12T12:37:00Z</cp:lastPrinted>
  <dcterms:created xsi:type="dcterms:W3CDTF">2022-04-05T13:18:00Z</dcterms:created>
  <dcterms:modified xsi:type="dcterms:W3CDTF">2024-01-02T14:25:00Z</dcterms:modified>
</cp:coreProperties>
</file>