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11697F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C66E43">
              <w:rPr>
                <w:b/>
                <w:sz w:val="28"/>
                <w:szCs w:val="28"/>
              </w:rPr>
              <w:t>Міська цільова</w:t>
            </w:r>
            <w:r w:rsidRPr="00A74715">
              <w:rPr>
                <w:b/>
                <w:sz w:val="28"/>
                <w:szCs w:val="28"/>
              </w:rPr>
              <w:t xml:space="preserve"> програма розвитку цивільного захисту Ніжинської міської територіальної громади на 202</w:t>
            </w:r>
            <w:r w:rsidR="005E4EF7">
              <w:rPr>
                <w:b/>
                <w:sz w:val="28"/>
                <w:szCs w:val="28"/>
              </w:rPr>
              <w:t>3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5E4EF7" w:rsidRPr="009A0F5C" w:rsidRDefault="005E4EF7" w:rsidP="005E4EF7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2A154C">
              <w:rPr>
                <w:color w:val="0070C0"/>
                <w:sz w:val="28"/>
                <w:szCs w:val="28"/>
                <w:u w:val="single"/>
              </w:rPr>
              <w:t>,</w:t>
            </w:r>
            <w:r w:rsidR="008D6001">
              <w:rPr>
                <w:color w:val="0070C0"/>
                <w:sz w:val="28"/>
                <w:szCs w:val="28"/>
                <w:u w:val="single"/>
              </w:rPr>
              <w:t xml:space="preserve"> рішення </w:t>
            </w:r>
            <w:r w:rsidR="00992FE6">
              <w:rPr>
                <w:color w:val="0070C0"/>
                <w:sz w:val="28"/>
                <w:szCs w:val="28"/>
                <w:u w:val="single"/>
              </w:rPr>
              <w:t xml:space="preserve"> міської ради  № 5-29/2023  від 28.03.2023 року</w:t>
            </w:r>
            <w:r w:rsidR="008D6001">
              <w:rPr>
                <w:color w:val="0070C0"/>
                <w:sz w:val="28"/>
                <w:szCs w:val="28"/>
                <w:u w:val="single"/>
              </w:rPr>
              <w:t xml:space="preserve">, рішення  </w:t>
            </w:r>
            <w:r w:rsidR="009A0F5C" w:rsidRPr="009A0F5C">
              <w:rPr>
                <w:color w:val="0070C0"/>
                <w:sz w:val="28"/>
                <w:szCs w:val="28"/>
                <w:u w:val="single"/>
              </w:rPr>
              <w:t xml:space="preserve">міської ради </w:t>
            </w:r>
            <w:r w:rsidR="009A0F5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№ 22-31/2023</w:t>
            </w:r>
            <w:r w:rsidR="009A0F5C" w:rsidRPr="009A0F5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9A0F5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від 20.06.2023 року</w:t>
            </w:r>
            <w:r w:rsidR="00B6492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, </w:t>
            </w:r>
            <w:r w:rsidR="00E221D6">
              <w:rPr>
                <w:color w:val="0070C0"/>
                <w:sz w:val="28"/>
                <w:szCs w:val="28"/>
                <w:u w:val="single"/>
              </w:rPr>
              <w:t xml:space="preserve">рішення </w:t>
            </w:r>
            <w:r w:rsidR="00B6492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B6492C" w:rsidRPr="009A0F5C">
              <w:rPr>
                <w:color w:val="0070C0"/>
                <w:sz w:val="28"/>
                <w:szCs w:val="28"/>
                <w:u w:val="single"/>
              </w:rPr>
              <w:t xml:space="preserve">міської ради </w:t>
            </w:r>
            <w:r w:rsidR="00B6492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№ 8-32</w:t>
            </w:r>
            <w:r w:rsidR="00B6492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/2023</w:t>
            </w:r>
            <w:r w:rsidR="00B6492C" w:rsidRPr="009A0F5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B6492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від 10.08</w:t>
            </w:r>
            <w:r w:rsidR="00B6492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.2023 року</w:t>
            </w:r>
            <w:r w:rsidR="008D6001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, рішення міської ради</w:t>
            </w:r>
            <w:r w:rsidR="00E221D6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 № 13-34/2023 від 08.11.2023 року, </w:t>
            </w:r>
            <w:r w:rsidR="008D6001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рішення міської ради </w:t>
            </w:r>
            <w:r w:rsidR="00E221D6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№ 13-35/2023 від 08.12.2023 року</w:t>
            </w:r>
          </w:p>
          <w:p w:rsidR="00A62EA2" w:rsidRDefault="005E4EF7" w:rsidP="005E4EF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1697F" w:rsidP="00B92B0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20 598 181,00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1697F" w:rsidP="0011697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4 933 781,00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11697F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15 664 400,00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1697F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5 354 894,62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1697F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4 254 947,12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11697F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1 099 947,50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1697F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-15 243 286,38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1697F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-678 833,88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11697F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-14 564 452,50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>частково</w:t>
            </w:r>
            <w:proofErr w:type="spellEnd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AE1D38">
        <w:trPr>
          <w:cantSplit/>
          <w:trHeight w:val="508"/>
          <w:jc w:val="center"/>
        </w:trPr>
        <w:tc>
          <w:tcPr>
            <w:tcW w:w="67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2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4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703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AE1D38">
        <w:trPr>
          <w:cantSplit/>
          <w:trHeight w:val="508"/>
          <w:jc w:val="center"/>
        </w:trPr>
        <w:tc>
          <w:tcPr>
            <w:tcW w:w="67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92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53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703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AE1D38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2F3C4E" w:rsidRPr="00D4430E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2F3C4E" w:rsidRPr="00D4430E" w:rsidRDefault="00E02160" w:rsidP="00816F37">
            <w:pPr>
              <w:rPr>
                <w:snapToGrid w:val="0"/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Обсяг видатків на створення матеріального  резерву</w:t>
            </w:r>
            <w:r w:rsidR="00AE1D38" w:rsidRPr="00D443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2F3C4E" w:rsidRPr="00D4430E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6" w:type="dxa"/>
            <w:vAlign w:val="center"/>
          </w:tcPr>
          <w:p w:rsidR="002F3C4E" w:rsidRPr="00D4430E" w:rsidRDefault="005E4EF7" w:rsidP="00AE1D38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 </w:t>
            </w:r>
            <w:r w:rsidR="00AE1D38" w:rsidRPr="00D4430E">
              <w:rPr>
                <w:sz w:val="20"/>
                <w:szCs w:val="20"/>
              </w:rPr>
              <w:t>569 000,00</w:t>
            </w:r>
          </w:p>
        </w:tc>
        <w:tc>
          <w:tcPr>
            <w:tcW w:w="1276" w:type="dxa"/>
            <w:vAlign w:val="center"/>
          </w:tcPr>
          <w:p w:rsidR="002F3C4E" w:rsidRPr="00D4430E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vAlign w:val="center"/>
          </w:tcPr>
          <w:p w:rsidR="002F3C4E" w:rsidRPr="00D4430E" w:rsidRDefault="002B6554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408 448,00</w:t>
            </w:r>
          </w:p>
        </w:tc>
        <w:tc>
          <w:tcPr>
            <w:tcW w:w="1353" w:type="dxa"/>
            <w:vAlign w:val="center"/>
          </w:tcPr>
          <w:p w:rsidR="002F3C4E" w:rsidRPr="00D4430E" w:rsidRDefault="002F3C4E" w:rsidP="00284BBF">
            <w:pPr>
              <w:pStyle w:val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03" w:type="dxa"/>
            <w:vAlign w:val="center"/>
          </w:tcPr>
          <w:p w:rsidR="002F3C4E" w:rsidRPr="00D4430E" w:rsidRDefault="00D87099" w:rsidP="005E14E0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Придбання бензину А-95 2500 літрів та дизпалива 5000 літрів на суму 381 500,00 грн. у ТОВ «ІНТЕКС ІНВЕСТ»., моторної оливи 30 літрів на суму 5820,00 грн.</w:t>
            </w:r>
            <w:r w:rsidR="00324E73" w:rsidRPr="00D4430E">
              <w:rPr>
                <w:snapToGrid w:val="0"/>
                <w:sz w:val="20"/>
                <w:szCs w:val="20"/>
              </w:rPr>
              <w:t xml:space="preserve"> Придбання проводів </w:t>
            </w:r>
            <w:r w:rsidR="00DF7EAA" w:rsidRPr="00D4430E">
              <w:rPr>
                <w:snapToGrid w:val="0"/>
                <w:sz w:val="20"/>
                <w:szCs w:val="20"/>
              </w:rPr>
              <w:t xml:space="preserve">та наконечників у </w:t>
            </w:r>
            <w:proofErr w:type="spellStart"/>
            <w:r w:rsidR="00DF7EAA" w:rsidRPr="00D4430E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="00DF7EAA" w:rsidRPr="00D4430E">
              <w:rPr>
                <w:snapToGrid w:val="0"/>
                <w:sz w:val="20"/>
                <w:szCs w:val="20"/>
              </w:rPr>
              <w:t xml:space="preserve"> Ярмак О.С. на суму 21 128,00</w:t>
            </w:r>
          </w:p>
        </w:tc>
      </w:tr>
      <w:tr w:rsidR="00037BF4" w:rsidRPr="00C13BAD" w:rsidTr="00AE1D38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6A6491" w:rsidRPr="00D4430E" w:rsidRDefault="0078625D" w:rsidP="006A6491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6A6491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Виконання заходів, спрямованих на попередження виникнення надзвичайних ситуацій, небезпечних подій</w:t>
            </w:r>
          </w:p>
        </w:tc>
        <w:tc>
          <w:tcPr>
            <w:tcW w:w="1259" w:type="dxa"/>
            <w:vAlign w:val="center"/>
          </w:tcPr>
          <w:p w:rsidR="006A6491" w:rsidRPr="00D4430E" w:rsidRDefault="006A649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6" w:type="dxa"/>
            <w:vAlign w:val="center"/>
          </w:tcPr>
          <w:p w:rsidR="006A6491" w:rsidRPr="00D4430E" w:rsidRDefault="00AE1D38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497</w:t>
            </w:r>
            <w:r w:rsidR="005E4EF7" w:rsidRPr="00D4430E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vAlign w:val="center"/>
          </w:tcPr>
          <w:p w:rsidR="006A6491" w:rsidRPr="00D4430E" w:rsidRDefault="006A6491" w:rsidP="00D4430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vAlign w:val="center"/>
          </w:tcPr>
          <w:p w:rsidR="006A6491" w:rsidRPr="00D4430E" w:rsidRDefault="00DF7EAA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413 481,76</w:t>
            </w:r>
          </w:p>
        </w:tc>
        <w:tc>
          <w:tcPr>
            <w:tcW w:w="1353" w:type="dxa"/>
            <w:vAlign w:val="center"/>
          </w:tcPr>
          <w:p w:rsidR="006A6491" w:rsidRPr="00D4430E" w:rsidRDefault="006A6491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6A6491" w:rsidRPr="00D4430E" w:rsidRDefault="00B438B4" w:rsidP="00DF7EA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 xml:space="preserve">Виконано роботи з </w:t>
            </w:r>
            <w:proofErr w:type="spellStart"/>
            <w:r w:rsidRPr="00D4430E">
              <w:rPr>
                <w:snapToGrid w:val="0"/>
                <w:sz w:val="20"/>
                <w:szCs w:val="20"/>
              </w:rPr>
              <w:t>обваловки</w:t>
            </w:r>
            <w:proofErr w:type="spellEnd"/>
            <w:r w:rsidRPr="00D4430E">
              <w:rPr>
                <w:snapToGrid w:val="0"/>
                <w:sz w:val="20"/>
                <w:szCs w:val="20"/>
              </w:rPr>
              <w:t xml:space="preserve"> карт полігону ТПВ </w:t>
            </w:r>
            <w:proofErr w:type="spellStart"/>
            <w:r w:rsidRPr="00D4430E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Pr="00D4430E">
              <w:rPr>
                <w:snapToGrid w:val="0"/>
                <w:sz w:val="20"/>
                <w:szCs w:val="20"/>
              </w:rPr>
              <w:t xml:space="preserve"> </w:t>
            </w:r>
            <w:r w:rsidR="003D6369" w:rsidRPr="00D4430E">
              <w:rPr>
                <w:snapToGrid w:val="0"/>
                <w:sz w:val="20"/>
                <w:szCs w:val="20"/>
              </w:rPr>
              <w:t xml:space="preserve">            Ріпа </w:t>
            </w:r>
            <w:r w:rsidRPr="00D4430E">
              <w:rPr>
                <w:snapToGrid w:val="0"/>
                <w:sz w:val="20"/>
                <w:szCs w:val="20"/>
              </w:rPr>
              <w:t xml:space="preserve"> </w:t>
            </w:r>
            <w:r w:rsidR="003D6369" w:rsidRPr="00D4430E">
              <w:rPr>
                <w:snapToGrid w:val="0"/>
                <w:sz w:val="20"/>
                <w:szCs w:val="20"/>
              </w:rPr>
              <w:t xml:space="preserve">Т.М. на суму </w:t>
            </w:r>
            <w:r w:rsidR="00DF7EAA" w:rsidRPr="00D4430E">
              <w:rPr>
                <w:snapToGrid w:val="0"/>
                <w:sz w:val="20"/>
                <w:szCs w:val="20"/>
              </w:rPr>
              <w:t>197 504,82</w:t>
            </w:r>
            <w:r w:rsidR="003D6369" w:rsidRPr="00D4430E">
              <w:rPr>
                <w:snapToGrid w:val="0"/>
                <w:sz w:val="20"/>
                <w:szCs w:val="20"/>
              </w:rPr>
              <w:t xml:space="preserve"> грн. Монтування плит огорожі полігону ТПВ </w:t>
            </w:r>
            <w:proofErr w:type="spellStart"/>
            <w:r w:rsidR="003D6369" w:rsidRPr="00D4430E">
              <w:rPr>
                <w:snapToGrid w:val="0"/>
                <w:sz w:val="20"/>
                <w:szCs w:val="20"/>
              </w:rPr>
              <w:t>ТПВ</w:t>
            </w:r>
            <w:proofErr w:type="spellEnd"/>
            <w:r w:rsidR="00DF7EAA" w:rsidRPr="00D4430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F7EAA" w:rsidRPr="00D4430E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="00DF7EAA" w:rsidRPr="00D4430E">
              <w:rPr>
                <w:snapToGrid w:val="0"/>
                <w:sz w:val="20"/>
                <w:szCs w:val="20"/>
              </w:rPr>
              <w:t xml:space="preserve"> Ріпа  Т.М на суму 172 310,38</w:t>
            </w:r>
            <w:r w:rsidR="003D6369" w:rsidRPr="00D4430E">
              <w:rPr>
                <w:snapToGrid w:val="0"/>
                <w:sz w:val="20"/>
                <w:szCs w:val="20"/>
              </w:rPr>
              <w:t xml:space="preserve"> грн</w:t>
            </w:r>
            <w:r w:rsidR="00DF7EAA" w:rsidRPr="00D4430E">
              <w:rPr>
                <w:snapToGrid w:val="0"/>
                <w:sz w:val="20"/>
                <w:szCs w:val="20"/>
              </w:rPr>
              <w:t>. Монтаж укладання та технічне обслуговування силових кабелів Ніжинський РЕМ на суму 43 666,56</w:t>
            </w:r>
          </w:p>
        </w:tc>
      </w:tr>
      <w:tr w:rsidR="00037BF4" w:rsidRPr="00C13BAD" w:rsidTr="00AE1D38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184FF5" w:rsidRPr="00D4430E" w:rsidRDefault="0078625D" w:rsidP="006A6491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259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6" w:type="dxa"/>
            <w:vAlign w:val="center"/>
          </w:tcPr>
          <w:p w:rsidR="00184FF5" w:rsidRPr="00D4430E" w:rsidRDefault="00AE1D38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3 673</w:t>
            </w:r>
            <w:r w:rsidR="00AA4654" w:rsidRPr="00D4430E">
              <w:rPr>
                <w:sz w:val="20"/>
                <w:szCs w:val="20"/>
              </w:rPr>
              <w:t xml:space="preserve"> </w:t>
            </w:r>
            <w:r w:rsidR="005E4EF7" w:rsidRPr="00D4430E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vAlign w:val="center"/>
          </w:tcPr>
          <w:p w:rsidR="00184FF5" w:rsidRPr="00D4430E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vAlign w:val="center"/>
          </w:tcPr>
          <w:p w:rsidR="00184FF5" w:rsidRPr="00D4430E" w:rsidRDefault="002B6554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3 265 019,01</w:t>
            </w:r>
          </w:p>
        </w:tc>
        <w:tc>
          <w:tcPr>
            <w:tcW w:w="1353" w:type="dxa"/>
            <w:vAlign w:val="center"/>
          </w:tcPr>
          <w:p w:rsidR="00184FF5" w:rsidRPr="00D4430E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184FF5" w:rsidRPr="00D4430E" w:rsidRDefault="007E562B" w:rsidP="00D1096F">
            <w:pPr>
              <w:jc w:val="center"/>
              <w:rPr>
                <w:snapToGrid w:val="0"/>
                <w:sz w:val="20"/>
                <w:szCs w:val="20"/>
              </w:rPr>
            </w:pPr>
            <w:r w:rsidRPr="00B6212A">
              <w:rPr>
                <w:snapToGrid w:val="0"/>
                <w:sz w:val="20"/>
                <w:szCs w:val="20"/>
              </w:rPr>
              <w:t xml:space="preserve">Поточний ремонт </w:t>
            </w:r>
            <w:r w:rsidR="008D6001" w:rsidRPr="00B6212A">
              <w:rPr>
                <w:snapToGrid w:val="0"/>
                <w:sz w:val="20"/>
                <w:szCs w:val="20"/>
              </w:rPr>
              <w:t xml:space="preserve"> 17</w:t>
            </w:r>
            <w:r w:rsidR="00E221D6" w:rsidRPr="00B6212A">
              <w:rPr>
                <w:snapToGrid w:val="0"/>
                <w:sz w:val="20"/>
                <w:szCs w:val="20"/>
              </w:rPr>
              <w:t xml:space="preserve"> </w:t>
            </w:r>
            <w:r w:rsidR="001B049F" w:rsidRPr="00B6212A">
              <w:rPr>
                <w:snapToGrid w:val="0"/>
                <w:sz w:val="20"/>
                <w:szCs w:val="20"/>
              </w:rPr>
              <w:t xml:space="preserve">-х </w:t>
            </w:r>
            <w:r w:rsidRPr="00B6212A">
              <w:rPr>
                <w:snapToGrid w:val="0"/>
                <w:sz w:val="20"/>
                <w:szCs w:val="20"/>
              </w:rPr>
              <w:t xml:space="preserve">споруд </w:t>
            </w:r>
            <w:r w:rsidR="001B049F" w:rsidRPr="00B6212A">
              <w:rPr>
                <w:snapToGrid w:val="0"/>
                <w:sz w:val="20"/>
                <w:szCs w:val="20"/>
              </w:rPr>
              <w:t>цивільного захисту – найпростіших укриттів</w:t>
            </w:r>
            <w:r w:rsidR="00293615" w:rsidRPr="00B6212A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</w:p>
        </w:tc>
      </w:tr>
      <w:tr w:rsidR="00037BF4" w:rsidRPr="00C13BAD" w:rsidTr="00AE1D38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FA2AC4" w:rsidRPr="00D4430E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FA2AC4" w:rsidRPr="00D4430E" w:rsidRDefault="00FA2AC4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Придбання місць для сидіння</w:t>
            </w:r>
            <w:r w:rsidR="001A5D3B" w:rsidRPr="00D4430E">
              <w:rPr>
                <w:sz w:val="20"/>
                <w:szCs w:val="20"/>
              </w:rPr>
              <w:t>/лежання ємкостей з питною водою, резервного живлення, первинних засобів пожежогасіння</w:t>
            </w:r>
            <w:r w:rsidR="00816F37" w:rsidRPr="00D4430E">
              <w:rPr>
                <w:sz w:val="20"/>
                <w:szCs w:val="20"/>
              </w:rPr>
              <w:t>, комплектів керованого доступу до укриттів  цивільного захисту</w:t>
            </w:r>
          </w:p>
        </w:tc>
        <w:tc>
          <w:tcPr>
            <w:tcW w:w="1259" w:type="dxa"/>
            <w:vAlign w:val="center"/>
          </w:tcPr>
          <w:p w:rsidR="00FA2AC4" w:rsidRPr="00D4430E" w:rsidRDefault="001A5D3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6" w:type="dxa"/>
            <w:vAlign w:val="center"/>
          </w:tcPr>
          <w:p w:rsidR="00FA2AC4" w:rsidRPr="00D4430E" w:rsidRDefault="00E221D6" w:rsidP="00E221D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151 781</w:t>
            </w:r>
            <w:r w:rsidR="00AE1D38" w:rsidRPr="00D4430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FA2AC4" w:rsidRPr="00D4430E" w:rsidRDefault="00FA2AC4" w:rsidP="00D4430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vAlign w:val="center"/>
          </w:tcPr>
          <w:p w:rsidR="00FA2AC4" w:rsidRPr="00D4430E" w:rsidRDefault="00324E73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139 998,35</w:t>
            </w:r>
          </w:p>
        </w:tc>
        <w:tc>
          <w:tcPr>
            <w:tcW w:w="1353" w:type="dxa"/>
            <w:vAlign w:val="center"/>
          </w:tcPr>
          <w:p w:rsidR="00FA2AC4" w:rsidRPr="00D4430E" w:rsidRDefault="00FA2AC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FA2AC4" w:rsidRPr="00D4430E" w:rsidRDefault="00324E73" w:rsidP="00324E73">
            <w:pPr>
              <w:jc w:val="center"/>
              <w:rPr>
                <w:snapToGrid w:val="0"/>
                <w:sz w:val="22"/>
                <w:szCs w:val="22"/>
              </w:rPr>
            </w:pPr>
            <w:r w:rsidRPr="00D4430E">
              <w:rPr>
                <w:rFonts w:ascii="Opensans" w:hAnsi="Opensans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D4430E">
              <w:rPr>
                <w:sz w:val="22"/>
                <w:szCs w:val="22"/>
                <w:shd w:val="clear" w:color="auto" w:fill="FFFFFF"/>
              </w:rPr>
              <w:t>Придбанння</w:t>
            </w:r>
            <w:proofErr w:type="spellEnd"/>
            <w:r w:rsidRPr="00D4430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4430E">
              <w:rPr>
                <w:sz w:val="22"/>
                <w:szCs w:val="22"/>
                <w:shd w:val="clear" w:color="auto" w:fill="FFFFFF"/>
              </w:rPr>
              <w:t>коплекту</w:t>
            </w:r>
            <w:proofErr w:type="spellEnd"/>
            <w:r w:rsidRPr="00D4430E">
              <w:rPr>
                <w:sz w:val="22"/>
                <w:szCs w:val="22"/>
                <w:shd w:val="clear" w:color="auto" w:fill="FFFFFF"/>
              </w:rPr>
              <w:t xml:space="preserve"> керованого </w:t>
            </w:r>
            <w:proofErr w:type="spellStart"/>
            <w:r w:rsidRPr="00D4430E">
              <w:rPr>
                <w:sz w:val="22"/>
                <w:szCs w:val="22"/>
                <w:shd w:val="clear" w:color="auto" w:fill="FFFFFF"/>
              </w:rPr>
              <w:t>.доступу</w:t>
            </w:r>
            <w:proofErr w:type="spellEnd"/>
            <w:r w:rsidRPr="00D4430E">
              <w:rPr>
                <w:sz w:val="22"/>
                <w:szCs w:val="22"/>
                <w:shd w:val="clear" w:color="auto" w:fill="FFFFFF"/>
              </w:rPr>
              <w:t xml:space="preserve"> для 3- укриттів </w:t>
            </w:r>
            <w:proofErr w:type="spellStart"/>
            <w:r w:rsidRPr="00D4430E">
              <w:rPr>
                <w:sz w:val="22"/>
                <w:szCs w:val="22"/>
                <w:shd w:val="clear" w:color="auto" w:fill="FFFFFF"/>
              </w:rPr>
              <w:t>укриттів</w:t>
            </w:r>
            <w:proofErr w:type="spellEnd"/>
            <w:r w:rsidRPr="00D4430E">
              <w:rPr>
                <w:sz w:val="22"/>
                <w:szCs w:val="22"/>
                <w:shd w:val="clear" w:color="auto" w:fill="FFFFFF"/>
              </w:rPr>
              <w:t xml:space="preserve"> цивільного захисту</w:t>
            </w:r>
          </w:p>
        </w:tc>
      </w:tr>
      <w:tr w:rsidR="00037BF4" w:rsidRPr="00C13BAD" w:rsidTr="00AE1D38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EB35F4" w:rsidRPr="00D4430E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2239" w:type="dxa"/>
            <w:vAlign w:val="center"/>
          </w:tcPr>
          <w:p w:rsidR="00EB35F4" w:rsidRPr="00D4430E" w:rsidRDefault="00EB35F4" w:rsidP="00816F3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 xml:space="preserve">Придбання та встановлення модульних </w:t>
            </w:r>
            <w:proofErr w:type="spellStart"/>
            <w:r w:rsidRPr="00D4430E">
              <w:rPr>
                <w:sz w:val="20"/>
                <w:szCs w:val="20"/>
              </w:rPr>
              <w:t>швидкоспоруджувальних</w:t>
            </w:r>
            <w:proofErr w:type="spellEnd"/>
            <w:r w:rsidRPr="00D4430E">
              <w:rPr>
                <w:sz w:val="20"/>
                <w:szCs w:val="20"/>
              </w:rPr>
              <w:t xml:space="preserve"> захисних споруд цивільного захисту тимчасового перебування людей </w:t>
            </w:r>
          </w:p>
        </w:tc>
        <w:tc>
          <w:tcPr>
            <w:tcW w:w="1259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6" w:type="dxa"/>
            <w:vAlign w:val="center"/>
          </w:tcPr>
          <w:p w:rsidR="00EB35F4" w:rsidRPr="00D4430E" w:rsidRDefault="00EB35F4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5F4" w:rsidRPr="00D4430E" w:rsidRDefault="00AE1D38" w:rsidP="00AE1D3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4430E">
              <w:rPr>
                <w:rStyle w:val="grame"/>
                <w:snapToGrid w:val="0"/>
                <w:sz w:val="20"/>
                <w:szCs w:val="20"/>
              </w:rPr>
              <w:t>15 664 4</w:t>
            </w:r>
            <w:r w:rsidR="00EB35F4" w:rsidRPr="00D4430E">
              <w:rPr>
                <w:rStyle w:val="gram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192" w:type="dxa"/>
            <w:vAlign w:val="center"/>
          </w:tcPr>
          <w:p w:rsidR="00EB35F4" w:rsidRPr="00D4430E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EB35F4" w:rsidRPr="00D4430E" w:rsidRDefault="00037BF4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1 099 947,50</w:t>
            </w:r>
          </w:p>
        </w:tc>
        <w:tc>
          <w:tcPr>
            <w:tcW w:w="5703" w:type="dxa"/>
            <w:vAlign w:val="center"/>
          </w:tcPr>
          <w:p w:rsidR="00EB35F4" w:rsidRPr="00D4430E" w:rsidRDefault="00037BF4" w:rsidP="00D1096F">
            <w:pPr>
              <w:rPr>
                <w:snapToGrid w:val="0"/>
                <w:sz w:val="22"/>
                <w:szCs w:val="22"/>
              </w:rPr>
            </w:pP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Ввиготовлення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топогеодезичної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.зйомки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,  виконання </w:t>
            </w: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.iнженерно-геолог.вишукувань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виготовлення.проектної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.документації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  з проходженням  експертизи по об’єктах (</w:t>
            </w: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Будiвництво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0998">
              <w:rPr>
                <w:sz w:val="22"/>
                <w:szCs w:val="22"/>
                <w:shd w:val="clear" w:color="auto" w:fill="FFFFFF"/>
              </w:rPr>
              <w:t>.захисних</w:t>
            </w:r>
            <w:proofErr w:type="spellEnd"/>
            <w:r w:rsidRPr="000E0998">
              <w:rPr>
                <w:sz w:val="22"/>
                <w:szCs w:val="22"/>
                <w:shd w:val="clear" w:color="auto" w:fill="FFFFFF"/>
              </w:rPr>
              <w:t xml:space="preserve">  споруд </w:t>
            </w:r>
            <w:r w:rsidR="00441165" w:rsidRPr="000E0998">
              <w:rPr>
                <w:sz w:val="22"/>
                <w:szCs w:val="22"/>
                <w:shd w:val="clear" w:color="auto" w:fill="FFFFFF"/>
              </w:rPr>
              <w:t xml:space="preserve">  -   4</w:t>
            </w:r>
            <w:r w:rsidRPr="000E0998">
              <w:rPr>
                <w:sz w:val="22"/>
                <w:szCs w:val="22"/>
                <w:shd w:val="clear" w:color="auto" w:fill="FFFFFF"/>
              </w:rPr>
              <w:t xml:space="preserve"> шкіл</w:t>
            </w:r>
            <w:r w:rsidR="00E221D6" w:rsidRPr="000E0998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0E099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41165" w:rsidRPr="000E0998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0E0998">
              <w:rPr>
                <w:sz w:val="22"/>
                <w:szCs w:val="22"/>
                <w:shd w:val="clear" w:color="auto" w:fill="FFFFFF"/>
              </w:rPr>
              <w:t>та 2-х садочків)</w:t>
            </w:r>
            <w:r w:rsidR="000E0998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0E0998" w:rsidRPr="00B6212A">
              <w:rPr>
                <w:color w:val="365F91" w:themeColor="accent1" w:themeShade="BF"/>
                <w:sz w:val="22"/>
                <w:szCs w:val="22"/>
                <w:shd w:val="clear" w:color="auto" w:fill="FFFFFF"/>
              </w:rPr>
              <w:t xml:space="preserve">Тендер проведений , з учасником який визнаний переможцем </w:t>
            </w:r>
            <w:r w:rsidR="000E0998" w:rsidRPr="00B6212A">
              <w:rPr>
                <w:color w:val="365F91" w:themeColor="accent1" w:themeShade="BF"/>
                <w:sz w:val="22"/>
                <w:szCs w:val="22"/>
              </w:rPr>
              <w:t>договір не укладено оскільки у підрядної організації анульований дозвіл на виконання небезпечних робіт</w:t>
            </w:r>
            <w:r w:rsidR="000E0998">
              <w:rPr>
                <w:sz w:val="22"/>
                <w:szCs w:val="22"/>
              </w:rPr>
              <w:t>.</w:t>
            </w:r>
          </w:p>
        </w:tc>
      </w:tr>
      <w:tr w:rsidR="00037BF4" w:rsidRPr="00C13BAD" w:rsidTr="00AE1D38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AA4654" w:rsidRPr="00D4430E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2239" w:type="dxa"/>
            <w:vAlign w:val="center"/>
          </w:tcPr>
          <w:p w:rsidR="00AA4654" w:rsidRPr="00D4430E" w:rsidRDefault="0078625D" w:rsidP="00816F3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Облаштування пунктів незламності на території Ніжинської територіальної громади:</w:t>
            </w:r>
          </w:p>
        </w:tc>
        <w:tc>
          <w:tcPr>
            <w:tcW w:w="1259" w:type="dxa"/>
            <w:vAlign w:val="center"/>
          </w:tcPr>
          <w:p w:rsidR="00AA465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6" w:type="dxa"/>
            <w:vAlign w:val="center"/>
          </w:tcPr>
          <w:p w:rsidR="00AA4654" w:rsidRPr="00D4430E" w:rsidRDefault="00E221D6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</w:t>
            </w:r>
            <w:r w:rsidR="00AE1D38" w:rsidRPr="00D4430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AA4654" w:rsidRPr="00D4430E" w:rsidRDefault="00AA4654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AA4654" w:rsidRPr="00D4430E" w:rsidRDefault="00520B36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28 000,00</w:t>
            </w:r>
          </w:p>
        </w:tc>
        <w:tc>
          <w:tcPr>
            <w:tcW w:w="1353" w:type="dxa"/>
            <w:vAlign w:val="center"/>
          </w:tcPr>
          <w:p w:rsidR="00AA4654" w:rsidRPr="00D4430E" w:rsidRDefault="00AA465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AA4654" w:rsidRPr="00D4430E" w:rsidRDefault="00AE1D38" w:rsidP="00267B53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 xml:space="preserve">Виготовлено таблички  та </w:t>
            </w:r>
            <w:proofErr w:type="spellStart"/>
            <w:r w:rsidRPr="00D4430E">
              <w:rPr>
                <w:snapToGrid w:val="0"/>
                <w:sz w:val="20"/>
                <w:szCs w:val="20"/>
              </w:rPr>
              <w:t>показчики</w:t>
            </w:r>
            <w:proofErr w:type="spellEnd"/>
            <w:r w:rsidRPr="00D4430E">
              <w:rPr>
                <w:snapToGrid w:val="0"/>
                <w:sz w:val="20"/>
                <w:szCs w:val="20"/>
              </w:rPr>
              <w:t xml:space="preserve"> для споруд цивільного  захисту</w:t>
            </w:r>
          </w:p>
        </w:tc>
      </w:tr>
      <w:tr w:rsidR="00037BF4" w:rsidRPr="00C13BAD" w:rsidTr="00AE1D38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78625D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39" w:type="dxa"/>
            <w:vAlign w:val="center"/>
          </w:tcPr>
          <w:p w:rsidR="0078625D" w:rsidRPr="00816F37" w:rsidRDefault="0078625D" w:rsidP="00816F3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Послуги: виготовлення друкованої продукції (інструкцій для населення); виготовлення покажчиків; харчування</w:t>
            </w:r>
          </w:p>
        </w:tc>
        <w:tc>
          <w:tcPr>
            <w:tcW w:w="1259" w:type="dxa"/>
            <w:vAlign w:val="center"/>
          </w:tcPr>
          <w:p w:rsidR="0078625D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6" w:type="dxa"/>
            <w:vAlign w:val="center"/>
          </w:tcPr>
          <w:p w:rsidR="0078625D" w:rsidRPr="0078625D" w:rsidRDefault="00520B36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8625D" w:rsidRPr="0078625D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vAlign w:val="center"/>
          </w:tcPr>
          <w:p w:rsidR="0078625D" w:rsidRPr="00AA4654" w:rsidRDefault="0078625D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78625D" w:rsidRDefault="0078625D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78625D" w:rsidRDefault="0078625D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78625D" w:rsidRDefault="0078625D" w:rsidP="00A57D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37BF4" w:rsidRPr="00C13BAD" w:rsidTr="00AE1D38">
        <w:trPr>
          <w:cantSplit/>
          <w:trHeight w:val="357"/>
          <w:jc w:val="center"/>
        </w:trPr>
        <w:tc>
          <w:tcPr>
            <w:tcW w:w="671" w:type="dxa"/>
            <w:vAlign w:val="center"/>
          </w:tcPr>
          <w:p w:rsidR="005E4EF7" w:rsidRDefault="005E4EF7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E4EF7" w:rsidRPr="00A7541D" w:rsidRDefault="00A7541D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259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4EF7" w:rsidRPr="001A5D3B" w:rsidRDefault="00AE1D38" w:rsidP="00184FF5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4 933 781,00</w:t>
            </w:r>
          </w:p>
        </w:tc>
        <w:tc>
          <w:tcPr>
            <w:tcW w:w="1276" w:type="dxa"/>
            <w:vAlign w:val="center"/>
          </w:tcPr>
          <w:p w:rsidR="005E4EF7" w:rsidRPr="001A5D3B" w:rsidRDefault="00AE1D38" w:rsidP="00257637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15 664 400,0</w:t>
            </w:r>
          </w:p>
        </w:tc>
        <w:tc>
          <w:tcPr>
            <w:tcW w:w="1192" w:type="dxa"/>
            <w:vAlign w:val="center"/>
          </w:tcPr>
          <w:p w:rsidR="005E4EF7" w:rsidRPr="004C5ABB" w:rsidRDefault="002B6554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4 254 947,12</w:t>
            </w:r>
          </w:p>
        </w:tc>
        <w:tc>
          <w:tcPr>
            <w:tcW w:w="1353" w:type="dxa"/>
            <w:vAlign w:val="center"/>
          </w:tcPr>
          <w:p w:rsidR="005E4EF7" w:rsidRPr="001A5D3B" w:rsidRDefault="002B6554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1 099 947,50</w:t>
            </w:r>
          </w:p>
        </w:tc>
        <w:tc>
          <w:tcPr>
            <w:tcW w:w="5703" w:type="dxa"/>
            <w:vAlign w:val="center"/>
          </w:tcPr>
          <w:p w:rsidR="005E4EF7" w:rsidRDefault="005E4EF7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A0" w:rsidRDefault="004502A0" w:rsidP="001C199B">
      <w:r>
        <w:separator/>
      </w:r>
    </w:p>
  </w:endnote>
  <w:endnote w:type="continuationSeparator" w:id="0">
    <w:p w:rsidR="004502A0" w:rsidRDefault="004502A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F6F2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F6F2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1096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A0" w:rsidRDefault="004502A0" w:rsidP="001C199B">
      <w:r>
        <w:separator/>
      </w:r>
    </w:p>
  </w:footnote>
  <w:footnote w:type="continuationSeparator" w:id="0">
    <w:p w:rsidR="004502A0" w:rsidRDefault="004502A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35A2C"/>
    <w:rsid w:val="00037BF4"/>
    <w:rsid w:val="00040D90"/>
    <w:rsid w:val="00041D9C"/>
    <w:rsid w:val="000432C7"/>
    <w:rsid w:val="00080053"/>
    <w:rsid w:val="00084805"/>
    <w:rsid w:val="0008525F"/>
    <w:rsid w:val="00087D1F"/>
    <w:rsid w:val="00091ABF"/>
    <w:rsid w:val="000966FD"/>
    <w:rsid w:val="00097D72"/>
    <w:rsid w:val="000A1E6D"/>
    <w:rsid w:val="000C041F"/>
    <w:rsid w:val="000C164F"/>
    <w:rsid w:val="000C1E0F"/>
    <w:rsid w:val="000C65EB"/>
    <w:rsid w:val="000D408B"/>
    <w:rsid w:val="000E0625"/>
    <w:rsid w:val="000E0998"/>
    <w:rsid w:val="000E24D6"/>
    <w:rsid w:val="000F4526"/>
    <w:rsid w:val="00101DFC"/>
    <w:rsid w:val="001118D5"/>
    <w:rsid w:val="0011697F"/>
    <w:rsid w:val="00121956"/>
    <w:rsid w:val="001223D2"/>
    <w:rsid w:val="001427F9"/>
    <w:rsid w:val="00152149"/>
    <w:rsid w:val="00172890"/>
    <w:rsid w:val="00175968"/>
    <w:rsid w:val="00184FF5"/>
    <w:rsid w:val="001A1FB3"/>
    <w:rsid w:val="001A5D3B"/>
    <w:rsid w:val="001A79C3"/>
    <w:rsid w:val="001B049F"/>
    <w:rsid w:val="001B1A2C"/>
    <w:rsid w:val="001C199B"/>
    <w:rsid w:val="001C3750"/>
    <w:rsid w:val="001D1F57"/>
    <w:rsid w:val="001E3905"/>
    <w:rsid w:val="001E5778"/>
    <w:rsid w:val="001F5651"/>
    <w:rsid w:val="00203407"/>
    <w:rsid w:val="00206153"/>
    <w:rsid w:val="00214AE2"/>
    <w:rsid w:val="00226185"/>
    <w:rsid w:val="002349AB"/>
    <w:rsid w:val="002370E6"/>
    <w:rsid w:val="0024217A"/>
    <w:rsid w:val="002446CD"/>
    <w:rsid w:val="0026523E"/>
    <w:rsid w:val="00267B53"/>
    <w:rsid w:val="00275EE8"/>
    <w:rsid w:val="0027620A"/>
    <w:rsid w:val="00283ED9"/>
    <w:rsid w:val="00284BBF"/>
    <w:rsid w:val="00293615"/>
    <w:rsid w:val="00295DBB"/>
    <w:rsid w:val="002A154C"/>
    <w:rsid w:val="002B043B"/>
    <w:rsid w:val="002B17BE"/>
    <w:rsid w:val="002B6554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43041"/>
    <w:rsid w:val="003526C3"/>
    <w:rsid w:val="0035713B"/>
    <w:rsid w:val="00361061"/>
    <w:rsid w:val="00380997"/>
    <w:rsid w:val="003910E5"/>
    <w:rsid w:val="003923D6"/>
    <w:rsid w:val="003938E8"/>
    <w:rsid w:val="003B573D"/>
    <w:rsid w:val="003C4937"/>
    <w:rsid w:val="003D6369"/>
    <w:rsid w:val="003E16B2"/>
    <w:rsid w:val="00405B12"/>
    <w:rsid w:val="00412E7D"/>
    <w:rsid w:val="00413514"/>
    <w:rsid w:val="00427E99"/>
    <w:rsid w:val="00437C3C"/>
    <w:rsid w:val="00441165"/>
    <w:rsid w:val="0044168C"/>
    <w:rsid w:val="004439D7"/>
    <w:rsid w:val="004502A0"/>
    <w:rsid w:val="00467432"/>
    <w:rsid w:val="004679ED"/>
    <w:rsid w:val="00471A17"/>
    <w:rsid w:val="00476D3F"/>
    <w:rsid w:val="00480762"/>
    <w:rsid w:val="00495693"/>
    <w:rsid w:val="00497552"/>
    <w:rsid w:val="004A42E2"/>
    <w:rsid w:val="004B3927"/>
    <w:rsid w:val="004C5ABB"/>
    <w:rsid w:val="004C7376"/>
    <w:rsid w:val="004D359C"/>
    <w:rsid w:val="004F6F2D"/>
    <w:rsid w:val="00504DF0"/>
    <w:rsid w:val="00517C2A"/>
    <w:rsid w:val="00520B36"/>
    <w:rsid w:val="005211E4"/>
    <w:rsid w:val="0052341C"/>
    <w:rsid w:val="005436F1"/>
    <w:rsid w:val="005534CF"/>
    <w:rsid w:val="00557463"/>
    <w:rsid w:val="005633AB"/>
    <w:rsid w:val="0056724C"/>
    <w:rsid w:val="00574C48"/>
    <w:rsid w:val="00584D65"/>
    <w:rsid w:val="00590134"/>
    <w:rsid w:val="00595AA3"/>
    <w:rsid w:val="005A1D7C"/>
    <w:rsid w:val="005B6857"/>
    <w:rsid w:val="005B6DFC"/>
    <w:rsid w:val="005C7648"/>
    <w:rsid w:val="005D267A"/>
    <w:rsid w:val="005D579D"/>
    <w:rsid w:val="005E14E0"/>
    <w:rsid w:val="005E3070"/>
    <w:rsid w:val="005E3A1F"/>
    <w:rsid w:val="005E4EF7"/>
    <w:rsid w:val="005F234B"/>
    <w:rsid w:val="00602A5A"/>
    <w:rsid w:val="00602BE0"/>
    <w:rsid w:val="00602D3C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B2B1F"/>
    <w:rsid w:val="006C2206"/>
    <w:rsid w:val="006C4318"/>
    <w:rsid w:val="006C7EBF"/>
    <w:rsid w:val="006D7669"/>
    <w:rsid w:val="006F0427"/>
    <w:rsid w:val="007031C6"/>
    <w:rsid w:val="007220AE"/>
    <w:rsid w:val="0072275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7165"/>
    <w:rsid w:val="007B7417"/>
    <w:rsid w:val="007B7641"/>
    <w:rsid w:val="007C3BD2"/>
    <w:rsid w:val="007C4835"/>
    <w:rsid w:val="007C514C"/>
    <w:rsid w:val="007C716A"/>
    <w:rsid w:val="007E562B"/>
    <w:rsid w:val="007F4112"/>
    <w:rsid w:val="00802EEB"/>
    <w:rsid w:val="00806B87"/>
    <w:rsid w:val="00811D23"/>
    <w:rsid w:val="00816F37"/>
    <w:rsid w:val="00820F3B"/>
    <w:rsid w:val="00821CD6"/>
    <w:rsid w:val="00827FF2"/>
    <w:rsid w:val="00833F6F"/>
    <w:rsid w:val="00836DE1"/>
    <w:rsid w:val="00844610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6001"/>
    <w:rsid w:val="008E3651"/>
    <w:rsid w:val="008E391C"/>
    <w:rsid w:val="008F68EB"/>
    <w:rsid w:val="0090019F"/>
    <w:rsid w:val="009039F4"/>
    <w:rsid w:val="00905D47"/>
    <w:rsid w:val="00921793"/>
    <w:rsid w:val="0093457E"/>
    <w:rsid w:val="009502CB"/>
    <w:rsid w:val="00951526"/>
    <w:rsid w:val="0095386C"/>
    <w:rsid w:val="009762BA"/>
    <w:rsid w:val="00981B94"/>
    <w:rsid w:val="00991FD3"/>
    <w:rsid w:val="00992831"/>
    <w:rsid w:val="00992FE6"/>
    <w:rsid w:val="00996D6A"/>
    <w:rsid w:val="009A01C4"/>
    <w:rsid w:val="009A0F5C"/>
    <w:rsid w:val="009B1AA6"/>
    <w:rsid w:val="009B3F27"/>
    <w:rsid w:val="009C3112"/>
    <w:rsid w:val="009E2DF7"/>
    <w:rsid w:val="009E7BFB"/>
    <w:rsid w:val="009F772C"/>
    <w:rsid w:val="00A16540"/>
    <w:rsid w:val="00A2343C"/>
    <w:rsid w:val="00A2483E"/>
    <w:rsid w:val="00A34BA9"/>
    <w:rsid w:val="00A432E2"/>
    <w:rsid w:val="00A4774D"/>
    <w:rsid w:val="00A57DE5"/>
    <w:rsid w:val="00A60B51"/>
    <w:rsid w:val="00A62EA2"/>
    <w:rsid w:val="00A74715"/>
    <w:rsid w:val="00A7541D"/>
    <w:rsid w:val="00A8511D"/>
    <w:rsid w:val="00A91B6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B039FC"/>
    <w:rsid w:val="00B07C35"/>
    <w:rsid w:val="00B148CC"/>
    <w:rsid w:val="00B15E43"/>
    <w:rsid w:val="00B2317C"/>
    <w:rsid w:val="00B438B4"/>
    <w:rsid w:val="00B45E1B"/>
    <w:rsid w:val="00B6212A"/>
    <w:rsid w:val="00B6492C"/>
    <w:rsid w:val="00B64B74"/>
    <w:rsid w:val="00B66327"/>
    <w:rsid w:val="00B67EB5"/>
    <w:rsid w:val="00B763A9"/>
    <w:rsid w:val="00B77586"/>
    <w:rsid w:val="00B80BB0"/>
    <w:rsid w:val="00B814A7"/>
    <w:rsid w:val="00B917B0"/>
    <w:rsid w:val="00B92B07"/>
    <w:rsid w:val="00B92BF6"/>
    <w:rsid w:val="00BA2B43"/>
    <w:rsid w:val="00BA378E"/>
    <w:rsid w:val="00BA4548"/>
    <w:rsid w:val="00BB4370"/>
    <w:rsid w:val="00BB6CF6"/>
    <w:rsid w:val="00BC5AED"/>
    <w:rsid w:val="00BD1BC8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56CE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43FD"/>
    <w:rsid w:val="00CE7B9A"/>
    <w:rsid w:val="00CF5B9C"/>
    <w:rsid w:val="00D10092"/>
    <w:rsid w:val="00D1096F"/>
    <w:rsid w:val="00D11AB7"/>
    <w:rsid w:val="00D170EE"/>
    <w:rsid w:val="00D3471C"/>
    <w:rsid w:val="00D35924"/>
    <w:rsid w:val="00D4430E"/>
    <w:rsid w:val="00D453DB"/>
    <w:rsid w:val="00D52A0D"/>
    <w:rsid w:val="00D534F7"/>
    <w:rsid w:val="00D626AB"/>
    <w:rsid w:val="00D62741"/>
    <w:rsid w:val="00D62C45"/>
    <w:rsid w:val="00D66066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70CE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B35F4"/>
    <w:rsid w:val="00ED490C"/>
    <w:rsid w:val="00EE1726"/>
    <w:rsid w:val="00F01711"/>
    <w:rsid w:val="00F10A8D"/>
    <w:rsid w:val="00F13933"/>
    <w:rsid w:val="00F14A4A"/>
    <w:rsid w:val="00F22D0E"/>
    <w:rsid w:val="00F3757E"/>
    <w:rsid w:val="00F3773C"/>
    <w:rsid w:val="00F51F9C"/>
    <w:rsid w:val="00F527A9"/>
    <w:rsid w:val="00F5487C"/>
    <w:rsid w:val="00F65B09"/>
    <w:rsid w:val="00F71F5D"/>
    <w:rsid w:val="00F81A97"/>
    <w:rsid w:val="00FA1CD2"/>
    <w:rsid w:val="00FA2AC4"/>
    <w:rsid w:val="00FB45C7"/>
    <w:rsid w:val="00FC1872"/>
    <w:rsid w:val="00FC343A"/>
    <w:rsid w:val="00FC71C0"/>
    <w:rsid w:val="00FC7376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013-BD16-4A17-BB69-FE530771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84</cp:revision>
  <cp:lastPrinted>2023-10-10T11:45:00Z</cp:lastPrinted>
  <dcterms:created xsi:type="dcterms:W3CDTF">2022-04-06T06:54:00Z</dcterms:created>
  <dcterms:modified xsi:type="dcterms:W3CDTF">2024-01-08T13:20:00Z</dcterms:modified>
</cp:coreProperties>
</file>