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№4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.2023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hanging="142" w:firstLineChars="0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Style w:val="25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бюджет Ніжинської міської  територіальної громади на 2024 рік (код бюджету 2553800000)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rPr>
                <w:rFonts w:hint="default"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</w:pPr>
            <w:r>
              <w:rPr>
                <w:rStyle w:val="27"/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Style w:val="27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нерухомого майна в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розміщення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тимчасових споруду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списання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інших необоротних матеріальних активів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затвердження фінансових планів підприємств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комунальної форми власності на 2024 рік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припинення функціонування прийомної сім’ї та вибуття прийомної дитини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  <w:p>
            <w:pPr>
              <w:pStyle w:val="12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/>
              <w:jc w:val="both"/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 надання статусу дитини,позбавленої батьківського піклування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>
            <w:pPr>
              <w:pStyle w:val="12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внесення змін до Додатку №1 рішення виконавчого комітету Ніжинської міської ради №277 від 06 липня 2023 року  «Про створення комісії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 та затвердження Положення про комісію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№1 рішення виконавчого комітету Ніжинської міської ради №314 від 27 липня 2023 року  «Про створення комісії з розгляду питань 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Федерації, проти України та затвердження Положення про комісію з розгляду питань 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Федерації, проти України»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створення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листопад 2023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відзначення з нагоди Дня місцевого самоврядування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призначення відповідальної уповноваженої особи від КП “НІЖИНТЕПЛОЕНЕРГО” для участі у позачергових загальних зборах учасників ТОВ “НіжинТеплоМережі”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560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824983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751F0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0C15752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5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4">
    <w:name w:val="docdata"/>
    <w:basedOn w:val="4"/>
    <w:qFormat/>
    <w:uiPriority w:val="0"/>
  </w:style>
  <w:style w:type="character" w:customStyle="1" w:styleId="15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6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7">
    <w:name w:val="Основной текст_"/>
    <w:link w:val="1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8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4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2 Char"/>
    <w:link w:val="18"/>
    <w:qFormat/>
    <w:uiPriority w:val="0"/>
    <w:rPr>
      <w:spacing w:val="2"/>
      <w:sz w:val="25"/>
      <w:szCs w:val="25"/>
      <w:lang w:eastAsia="uk-UA"/>
    </w:rPr>
  </w:style>
  <w:style w:type="paragraph" w:customStyle="1" w:styleId="26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7">
    <w:name w:val="rvts4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170</Words>
  <Characters>971</Characters>
  <Lines>8</Lines>
  <Paragraphs>2</Paragraphs>
  <TotalTime>2</TotalTime>
  <ScaleCrop>false</ScaleCrop>
  <LinksUpToDate>false</LinksUpToDate>
  <CharactersWithSpaces>1139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2023-01-04T09:55:00Z</cp:lastPrinted>
  <dcterms:modified xsi:type="dcterms:W3CDTF">2023-12-11T08:04:39Z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