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D" w:rsidRDefault="0096325D" w:rsidP="0096325D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96325D" w:rsidRPr="003F709C" w:rsidRDefault="0096325D" w:rsidP="0096325D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541746" wp14:editId="670DC11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5D" w:rsidRPr="00BC5F80" w:rsidRDefault="0096325D" w:rsidP="0096325D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96325D" w:rsidRDefault="0096325D" w:rsidP="0096325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96325D" w:rsidRPr="00D86812" w:rsidRDefault="0096325D" w:rsidP="0096325D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96325D" w:rsidRPr="00BC5F80" w:rsidRDefault="0096325D" w:rsidP="0096325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31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6325D" w:rsidRPr="00BC5F80" w:rsidRDefault="0096325D" w:rsidP="0096325D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96325D" w:rsidRPr="00BC5F80" w:rsidRDefault="0096325D" w:rsidP="0096325D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96325D" w:rsidRPr="00BC5F80" w:rsidRDefault="0096325D" w:rsidP="0096325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96325D" w:rsidRDefault="0096325D" w:rsidP="0096325D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110-31/2023</w:t>
      </w:r>
    </w:p>
    <w:bookmarkEnd w:id="0"/>
    <w:p w:rsidR="0096325D" w:rsidRDefault="0096325D" w:rsidP="0096325D">
      <w:pPr>
        <w:rPr>
          <w:lang w:val="uk-UA"/>
        </w:rPr>
      </w:pPr>
    </w:p>
    <w:p w:rsidR="0096325D" w:rsidRDefault="0096325D" w:rsidP="0096325D">
      <w:pPr>
        <w:spacing w:after="0"/>
        <w:rPr>
          <w:lang w:val="uk-UA"/>
        </w:rPr>
      </w:pPr>
    </w:p>
    <w:p w:rsidR="0096325D" w:rsidRDefault="0096325D" w:rsidP="0096325D">
      <w:pPr>
        <w:spacing w:after="0"/>
        <w:rPr>
          <w:lang w:val="uk-UA"/>
        </w:rPr>
      </w:pPr>
    </w:p>
    <w:p w:rsidR="0096325D" w:rsidRDefault="0096325D" w:rsidP="0096325D">
      <w:pPr>
        <w:spacing w:after="0"/>
        <w:rPr>
          <w:lang w:val="uk-UA"/>
        </w:rPr>
      </w:pPr>
    </w:p>
    <w:p w:rsidR="0096325D" w:rsidRDefault="0096325D" w:rsidP="0096325D">
      <w:pPr>
        <w:spacing w:after="0"/>
        <w:rPr>
          <w:lang w:val="uk-UA"/>
        </w:rPr>
      </w:pPr>
      <w:r>
        <w:rPr>
          <w:lang w:val="uk-UA"/>
        </w:rPr>
        <w:t xml:space="preserve">Про призначення </w:t>
      </w:r>
      <w:proofErr w:type="spellStart"/>
      <w:r>
        <w:rPr>
          <w:lang w:val="uk-UA"/>
        </w:rPr>
        <w:t>балансоутримувачів</w:t>
      </w:r>
      <w:proofErr w:type="spellEnd"/>
    </w:p>
    <w:p w:rsidR="0096325D" w:rsidRDefault="0096325D" w:rsidP="0096325D">
      <w:pPr>
        <w:spacing w:after="0"/>
        <w:rPr>
          <w:lang w:val="uk-UA"/>
        </w:rPr>
      </w:pPr>
      <w:r>
        <w:rPr>
          <w:lang w:val="uk-UA"/>
        </w:rPr>
        <w:t xml:space="preserve">укриттів цивільного захисту </w:t>
      </w:r>
    </w:p>
    <w:p w:rsidR="0096325D" w:rsidRDefault="0096325D" w:rsidP="0096325D">
      <w:pPr>
        <w:spacing w:after="0"/>
        <w:rPr>
          <w:lang w:val="uk-UA"/>
        </w:rPr>
      </w:pPr>
      <w:r>
        <w:rPr>
          <w:lang w:val="uk-UA"/>
        </w:rPr>
        <w:t>Ніжинської міської територіальної громади</w:t>
      </w:r>
    </w:p>
    <w:p w:rsidR="0096325D" w:rsidRDefault="0096325D" w:rsidP="0096325D">
      <w:pPr>
        <w:shd w:val="clear" w:color="auto" w:fill="FFFFFF"/>
        <w:spacing w:before="100" w:beforeAutospacing="1" w:after="0"/>
        <w:ind w:firstLine="1235"/>
        <w:jc w:val="both"/>
        <w:rPr>
          <w:rFonts w:eastAsia="Calibri" w:cs="Times New Roman"/>
          <w:szCs w:val="28"/>
          <w:lang w:val="uk-UA"/>
        </w:rPr>
      </w:pPr>
    </w:p>
    <w:p w:rsidR="0096325D" w:rsidRPr="006D48BF" w:rsidRDefault="0096325D" w:rsidP="0096325D">
      <w:pPr>
        <w:shd w:val="clear" w:color="auto" w:fill="FFFFFF"/>
        <w:spacing w:before="100" w:beforeAutospacing="1" w:after="0"/>
        <w:ind w:firstLine="1235"/>
        <w:jc w:val="both"/>
        <w:rPr>
          <w:color w:val="000000"/>
          <w:szCs w:val="28"/>
          <w:bdr w:val="none" w:sz="0" w:space="0" w:color="auto" w:frame="1"/>
          <w:lang w:val="uk-UA"/>
        </w:rPr>
      </w:pPr>
      <w:r>
        <w:rPr>
          <w:rFonts w:eastAsia="Calibri" w:cs="Times New Roman"/>
          <w:szCs w:val="28"/>
          <w:lang w:val="uk-UA"/>
        </w:rPr>
        <w:t>В</w:t>
      </w:r>
      <w:r w:rsidRPr="006D48BF">
        <w:rPr>
          <w:rFonts w:eastAsia="Calibri" w:cs="Times New Roman"/>
          <w:szCs w:val="28"/>
          <w:lang w:val="uk-UA"/>
        </w:rPr>
        <w:t xml:space="preserve">ідповідно до статей </w:t>
      </w:r>
      <w:r w:rsidRPr="006D48BF">
        <w:rPr>
          <w:szCs w:val="28"/>
          <w:lang w:val="uk-UA"/>
        </w:rPr>
        <w:t xml:space="preserve">25, 26, 42, 59, 60, 73 Закону України «Про місцеве самоврядування в Україні», </w:t>
      </w:r>
      <w:bookmarkStart w:id="1" w:name="_Hlk127954870"/>
      <w:r w:rsidRPr="00315D30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 (зі змінами)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,  </w:t>
      </w:r>
      <w:r w:rsidRPr="006D48BF">
        <w:rPr>
          <w:szCs w:val="28"/>
          <w:lang w:val="uk-UA"/>
        </w:rPr>
        <w:t>пункту 8 статті 32 Кодексу цивільного захисту України,</w:t>
      </w:r>
      <w:r>
        <w:rPr>
          <w:szCs w:val="28"/>
          <w:lang w:val="uk-UA"/>
        </w:rPr>
        <w:t xml:space="preserve"> </w:t>
      </w:r>
      <w:r w:rsidRPr="006D48BF">
        <w:rPr>
          <w:lang w:val="uk-UA"/>
        </w:rPr>
        <w:t xml:space="preserve">рішення </w:t>
      </w:r>
      <w:r w:rsidRPr="006D48BF">
        <w:rPr>
          <w:szCs w:val="28"/>
          <w:lang w:val="uk-UA"/>
        </w:rPr>
        <w:t xml:space="preserve">Ніжинської міської ради від 03 травня 2017 року </w:t>
      </w:r>
      <w:r w:rsidRPr="006D48BF">
        <w:rPr>
          <w:lang w:val="uk-UA"/>
        </w:rPr>
        <w:t xml:space="preserve"> № 49-23/2017 «Про затвердження П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майна,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або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Pr="006D48B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6D48BF">
        <w:rPr>
          <w:color w:val="000000"/>
          <w:szCs w:val="28"/>
          <w:bdr w:val="none" w:sz="0" w:space="0" w:color="auto" w:frame="1"/>
          <w:lang w:val="uk-UA"/>
        </w:rPr>
        <w:t xml:space="preserve">та типових договорів», </w:t>
      </w:r>
      <w:hyperlink r:id="rId7" w:anchor="Text" w:history="1">
        <w:r w:rsidRPr="006D48BF">
          <w:rPr>
            <w:rFonts w:eastAsia="Times New Roman" w:cs="Times New Roman"/>
            <w:szCs w:val="28"/>
            <w:lang w:val="uk-UA" w:eastAsia="ru-RU"/>
          </w:rPr>
          <w:t>Постанова Кабінету Міністрів України від 10 березня 2017 року № 138 «Про затвердження Порядку створення, утримання фонду захисних споруд цивільного захисту та ведення його обліку»</w:t>
        </w:r>
      </w:hyperlink>
      <w:r w:rsidRPr="006D48BF">
        <w:rPr>
          <w:rFonts w:eastAsia="Times New Roman" w:cs="Times New Roman"/>
          <w:szCs w:val="28"/>
          <w:lang w:val="uk-UA" w:eastAsia="ru-RU"/>
        </w:rPr>
        <w:t xml:space="preserve"> та </w:t>
      </w:r>
      <w:r w:rsidRPr="006D48BF">
        <w:rPr>
          <w:color w:val="000000"/>
          <w:szCs w:val="28"/>
          <w:bdr w:val="none" w:sz="0" w:space="0" w:color="auto" w:frame="1"/>
          <w:lang w:val="uk-UA"/>
        </w:rPr>
        <w:t xml:space="preserve">листа </w:t>
      </w:r>
      <w:r>
        <w:rPr>
          <w:color w:val="000000"/>
          <w:szCs w:val="28"/>
          <w:bdr w:val="none" w:sz="0" w:space="0" w:color="auto" w:frame="1"/>
          <w:lang w:val="uk-UA"/>
        </w:rPr>
        <w:t>виконавчого комітету Ніжинської міської ради від 15.06.2023 року № 01.1-12/1873.</w:t>
      </w:r>
    </w:p>
    <w:p w:rsidR="0096325D" w:rsidRPr="00262950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262950">
        <w:rPr>
          <w:lang w:val="uk-UA"/>
        </w:rPr>
        <w:t xml:space="preserve">Призначити </w:t>
      </w:r>
      <w:proofErr w:type="spellStart"/>
      <w:r w:rsidRPr="00262950">
        <w:rPr>
          <w:lang w:val="uk-UA"/>
        </w:rPr>
        <w:t>балансоутримувачів</w:t>
      </w:r>
      <w:proofErr w:type="spellEnd"/>
      <w:r w:rsidRPr="00262950">
        <w:rPr>
          <w:lang w:val="uk-UA"/>
        </w:rPr>
        <w:t xml:space="preserve"> укриттів цивільного </w:t>
      </w:r>
      <w:r>
        <w:rPr>
          <w:lang w:val="uk-UA"/>
        </w:rPr>
        <w:t>захисту</w:t>
      </w:r>
      <w:r w:rsidRPr="00262950">
        <w:rPr>
          <w:lang w:val="uk-UA"/>
        </w:rPr>
        <w:t>, які входять до фонду захисних споруд цивільного захисту Ніжинської міської територіальної громади та які розташовані в підвальних приміщеннях багатоквартирних житлових будинків згідно додатку.</w:t>
      </w:r>
    </w:p>
    <w:p w:rsidR="0096325D" w:rsidRPr="00262950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 w:rsidRPr="00262950">
        <w:rPr>
          <w:lang w:val="uk-UA"/>
        </w:rPr>
        <w:t>Доручити Управлінню комунального майна та земельних відносин виготовити технічну документацію.</w:t>
      </w:r>
    </w:p>
    <w:p w:rsidR="0096325D" w:rsidRPr="00262950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szCs w:val="28"/>
          <w:lang w:val="uk-UA"/>
        </w:rPr>
      </w:pPr>
      <w:r w:rsidRPr="00262950">
        <w:rPr>
          <w:rFonts w:eastAsia="Calibri" w:cs="Times New Roman"/>
          <w:szCs w:val="28"/>
          <w:lang w:val="uk-UA"/>
        </w:rPr>
        <w:t>Офіційним засобом для розміщення інформації з питань оренди об’єктів комунальної власності територіальної громади вважати офіційний сайт Ніжинської міської ради</w:t>
      </w:r>
      <w:r w:rsidRPr="00262950">
        <w:rPr>
          <w:rFonts w:eastAsia="Calibri" w:cs="Times New Roman"/>
          <w:u w:val="single"/>
          <w:lang w:val="uk-UA"/>
        </w:rPr>
        <w:t xml:space="preserve"> </w:t>
      </w:r>
      <w:hyperlink r:id="rId8" w:history="1">
        <w:r w:rsidRPr="00262950">
          <w:rPr>
            <w:rStyle w:val="a4"/>
            <w:rFonts w:eastAsia="Calibri" w:cs="Times New Roman"/>
            <w:lang w:val="uk-UA"/>
          </w:rPr>
          <w:t>https://nizhynrada.gov.ua/</w:t>
        </w:r>
      </w:hyperlink>
      <w:r w:rsidRPr="00262950">
        <w:rPr>
          <w:rFonts w:eastAsia="Calibri" w:cs="Times New Roman"/>
          <w:u w:val="single"/>
          <w:lang w:val="uk-UA"/>
        </w:rPr>
        <w:t xml:space="preserve"> </w:t>
      </w:r>
      <w:r w:rsidRPr="00262950">
        <w:rPr>
          <w:rFonts w:eastAsia="Calibri" w:cs="Times New Roman"/>
          <w:szCs w:val="28"/>
          <w:lang w:val="uk-UA"/>
        </w:rPr>
        <w:t xml:space="preserve">, електронну торгову систему, згідно Порядку передачі в оренду державного та комунального </w:t>
      </w:r>
      <w:r w:rsidRPr="00262950">
        <w:rPr>
          <w:rFonts w:eastAsia="Calibri" w:cs="Times New Roman"/>
          <w:szCs w:val="28"/>
          <w:lang w:val="uk-UA"/>
        </w:rPr>
        <w:lastRenderedPageBreak/>
        <w:t>майна, затвердженого постановою Кабінету Міністрів України від 03 червня 2020 року № 483.</w:t>
      </w:r>
    </w:p>
    <w:p w:rsidR="0096325D" w:rsidRPr="00F168BF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F168BF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F168B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О.</w:t>
      </w:r>
      <w:r w:rsidRPr="00F168BF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96325D" w:rsidRPr="00BE388A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szCs w:val="28"/>
          <w:lang w:val="uk-UA"/>
        </w:rPr>
      </w:pPr>
      <w:r w:rsidRPr="00BE388A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BE388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E388A">
        <w:rPr>
          <w:rFonts w:eastAsia="Times New Roman" w:cs="Times New Roman"/>
          <w:szCs w:val="28"/>
          <w:lang w:val="uk-UA" w:eastAsia="ru-RU"/>
        </w:rPr>
        <w:t xml:space="preserve"> І. А., </w:t>
      </w:r>
      <w:r w:rsidRPr="00BE388A">
        <w:rPr>
          <w:rFonts w:ascii="Arial" w:hAnsi="Arial" w:cs="Arial"/>
          <w:color w:val="000000"/>
          <w:shd w:val="clear" w:color="auto" w:fill="FFFFFF"/>
        </w:rPr>
        <w:t> </w:t>
      </w:r>
      <w:r w:rsidRPr="00507BB9">
        <w:rPr>
          <w:rFonts w:cs="Times New Roman"/>
          <w:color w:val="000000"/>
          <w:shd w:val="clear" w:color="auto" w:fill="FFFFFF"/>
          <w:lang w:val="uk-UA"/>
        </w:rPr>
        <w:t xml:space="preserve">начальника відділу з питань надзвичайних ситуацій, цивільного захисту населення, оборонної та мобілізаційної роботи </w:t>
      </w:r>
      <w:r w:rsidRPr="00507BB9">
        <w:rPr>
          <w:rFonts w:cs="Times New Roman"/>
          <w:b/>
          <w:color w:val="000000"/>
          <w:shd w:val="clear" w:color="auto" w:fill="FFFFFF"/>
        </w:rPr>
        <w:t> </w:t>
      </w:r>
      <w:r w:rsidRPr="006E355F">
        <w:rPr>
          <w:rStyle w:val="a5"/>
          <w:rFonts w:cs="Times New Roman"/>
          <w:b w:val="0"/>
          <w:color w:val="000000"/>
          <w:bdr w:val="none" w:sz="0" w:space="0" w:color="auto" w:frame="1"/>
          <w:shd w:val="clear" w:color="auto" w:fill="FFFFFF"/>
          <w:lang w:val="uk-UA"/>
        </w:rPr>
        <w:t>Овчаренка І.Ю</w:t>
      </w:r>
      <w:r w:rsidRPr="00BE388A">
        <w:rPr>
          <w:rStyle w:val="a5"/>
          <w:rFonts w:cs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., </w:t>
      </w:r>
      <w:r w:rsidRPr="00BE388A">
        <w:rPr>
          <w:rFonts w:eastAsia="Times New Roman" w:cs="Times New Roman"/>
          <w:szCs w:val="28"/>
          <w:lang w:val="uk-UA" w:eastAsia="ru-RU"/>
        </w:rPr>
        <w:t xml:space="preserve">директора комунального підприємства «Служба єдиного замовника»  </w:t>
      </w:r>
      <w:proofErr w:type="spellStart"/>
      <w:r w:rsidRPr="00BE388A">
        <w:rPr>
          <w:rFonts w:eastAsia="Times New Roman" w:cs="Times New Roman"/>
          <w:szCs w:val="28"/>
          <w:lang w:val="uk-UA" w:eastAsia="ru-RU"/>
        </w:rPr>
        <w:t>Кормана</w:t>
      </w:r>
      <w:proofErr w:type="spellEnd"/>
      <w:r w:rsidRPr="00BE388A">
        <w:rPr>
          <w:rFonts w:eastAsia="Times New Roman" w:cs="Times New Roman"/>
          <w:szCs w:val="28"/>
          <w:lang w:val="uk-UA" w:eastAsia="ru-RU"/>
        </w:rPr>
        <w:t xml:space="preserve"> В.А. </w:t>
      </w:r>
      <w:r w:rsidRPr="00BE388A">
        <w:rPr>
          <w:lang w:val="uk-UA"/>
        </w:rPr>
        <w:t xml:space="preserve">та директора </w:t>
      </w:r>
      <w:r>
        <w:rPr>
          <w:lang w:val="uk-UA"/>
        </w:rPr>
        <w:t>комунального підприємства</w:t>
      </w:r>
      <w:r w:rsidRPr="00BE388A">
        <w:rPr>
          <w:rFonts w:eastAsia="Times New Roman" w:cs="Times New Roman"/>
          <w:szCs w:val="28"/>
          <w:lang w:val="uk-UA" w:eastAsia="ru-RU"/>
        </w:rPr>
        <w:t xml:space="preserve"> «Керуюча компанія «Північна»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uk-UA" w:eastAsia="ru-RU"/>
        </w:rPr>
        <w:t>Шаповалова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Д</w:t>
      </w:r>
      <w:r>
        <w:rPr>
          <w:lang w:val="uk-UA"/>
        </w:rPr>
        <w:t>.О.</w:t>
      </w:r>
    </w:p>
    <w:p w:rsidR="0096325D" w:rsidRPr="00F168BF" w:rsidRDefault="0096325D" w:rsidP="0096325D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168BF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F168BF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F168BF">
        <w:rPr>
          <w:rFonts w:eastAsia="Times New Roman" w:cs="Times New Roman"/>
          <w:szCs w:val="28"/>
          <w:lang w:val="uk-UA" w:eastAsia="ru-RU"/>
        </w:rPr>
        <w:t xml:space="preserve"> В. М.).</w:t>
      </w:r>
    </w:p>
    <w:p w:rsidR="0096325D" w:rsidRPr="00BE388A" w:rsidRDefault="0096325D" w:rsidP="0096325D">
      <w:pPr>
        <w:spacing w:after="0"/>
        <w:ind w:left="284"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Pr="00BE388A" w:rsidRDefault="0096325D" w:rsidP="0096325D">
      <w:pPr>
        <w:spacing w:after="0"/>
        <w:ind w:left="284"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Default="0096325D" w:rsidP="0096325D">
      <w:pPr>
        <w:pStyle w:val="a3"/>
        <w:spacing w:after="0"/>
        <w:ind w:left="644"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Default="0096325D" w:rsidP="0096325D">
      <w:pPr>
        <w:pStyle w:val="a3"/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Default="0096325D" w:rsidP="0096325D">
      <w:pPr>
        <w:pStyle w:val="a3"/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Pr="00F168BF" w:rsidRDefault="0096325D" w:rsidP="0096325D">
      <w:pPr>
        <w:pStyle w:val="a3"/>
        <w:spacing w:after="0"/>
        <w:ind w:right="-284"/>
        <w:jc w:val="both"/>
        <w:rPr>
          <w:rFonts w:eastAsia="Times New Roman" w:cs="Times New Roman"/>
          <w:szCs w:val="28"/>
          <w:lang w:val="uk-UA" w:eastAsia="ru-RU"/>
        </w:rPr>
      </w:pPr>
      <w:r w:rsidRPr="00F168BF">
        <w:rPr>
          <w:rFonts w:eastAsia="Times New Roman" w:cs="Times New Roman"/>
          <w:szCs w:val="28"/>
          <w:lang w:val="uk-UA" w:eastAsia="ru-RU"/>
        </w:rPr>
        <w:t>Міський голова</w:t>
      </w:r>
      <w:r w:rsidRPr="00F168BF">
        <w:rPr>
          <w:rFonts w:eastAsia="Times New Roman" w:cs="Times New Roman"/>
          <w:szCs w:val="28"/>
          <w:lang w:val="uk-UA" w:eastAsia="ru-RU"/>
        </w:rPr>
        <w:tab/>
      </w:r>
      <w:r w:rsidRPr="00F168BF">
        <w:rPr>
          <w:rFonts w:eastAsia="Times New Roman" w:cs="Times New Roman"/>
          <w:szCs w:val="28"/>
          <w:lang w:val="uk-UA" w:eastAsia="ru-RU"/>
        </w:rPr>
        <w:tab/>
      </w:r>
      <w:r w:rsidRPr="00F168BF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F168BF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F168BF">
        <w:rPr>
          <w:rFonts w:eastAsia="Times New Roman" w:cs="Times New Roman"/>
          <w:szCs w:val="28"/>
          <w:lang w:val="uk-UA" w:eastAsia="ru-RU"/>
        </w:rPr>
        <w:tab/>
        <w:t xml:space="preserve">  </w:t>
      </w:r>
      <w:r w:rsidRPr="00F168BF">
        <w:rPr>
          <w:rFonts w:eastAsia="Times New Roman" w:cs="Times New Roman"/>
          <w:szCs w:val="28"/>
          <w:lang w:val="uk-UA" w:eastAsia="ru-RU"/>
        </w:rPr>
        <w:tab/>
        <w:t xml:space="preserve">    Олександр КОДОЛА</w:t>
      </w:r>
    </w:p>
    <w:p w:rsidR="0096325D" w:rsidRPr="00F168BF" w:rsidRDefault="0096325D" w:rsidP="0096325D">
      <w:pPr>
        <w:pStyle w:val="a3"/>
        <w:spacing w:after="0"/>
        <w:ind w:left="644" w:right="-284"/>
        <w:jc w:val="both"/>
        <w:rPr>
          <w:rFonts w:eastAsia="Times New Roman" w:cs="Times New Roman"/>
          <w:szCs w:val="28"/>
          <w:lang w:val="uk-UA" w:eastAsia="ru-RU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pStyle w:val="a3"/>
        <w:spacing w:after="0"/>
        <w:ind w:left="644"/>
        <w:jc w:val="both"/>
        <w:rPr>
          <w:lang w:val="uk-UA"/>
        </w:rPr>
      </w:pPr>
    </w:p>
    <w:p w:rsidR="0096325D" w:rsidRDefault="0096325D" w:rsidP="0096325D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96325D" w:rsidRDefault="0096325D" w:rsidP="0096325D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:rsidR="0096325D" w:rsidRDefault="0096325D" w:rsidP="0096325D">
      <w:pPr>
        <w:spacing w:after="0"/>
        <w:ind w:left="5103"/>
        <w:jc w:val="right"/>
        <w:rPr>
          <w:rFonts w:eastAsia="Times New Roman" w:cs="Times New Roman"/>
          <w:color w:val="000000"/>
          <w:sz w:val="20"/>
          <w:szCs w:val="20"/>
          <w:lang w:val="uk-UA" w:eastAsia="ru-RU"/>
        </w:rPr>
      </w:pPr>
      <w:bookmarkStart w:id="2" w:name="_GoBack"/>
      <w:bookmarkEnd w:id="2"/>
      <w:r w:rsidRPr="00117BA0">
        <w:rPr>
          <w:rFonts w:eastAsia="Times New Roman" w:cs="Times New Roman"/>
          <w:color w:val="000000"/>
          <w:sz w:val="20"/>
          <w:szCs w:val="20"/>
          <w:lang w:val="uk-UA" w:eastAsia="ru-RU"/>
        </w:rPr>
        <w:lastRenderedPageBreak/>
        <w:t xml:space="preserve">Додаток                                               </w:t>
      </w:r>
      <w:r>
        <w:rPr>
          <w:rFonts w:eastAsia="Times New Roman" w:cs="Times New Roman"/>
          <w:color w:val="000000"/>
          <w:sz w:val="20"/>
          <w:szCs w:val="20"/>
          <w:lang w:val="uk-UA" w:eastAsia="ru-RU"/>
        </w:rPr>
        <w:t xml:space="preserve">                           </w:t>
      </w:r>
    </w:p>
    <w:p w:rsidR="0096325D" w:rsidRPr="00117BA0" w:rsidRDefault="0096325D" w:rsidP="0096325D">
      <w:pPr>
        <w:spacing w:after="0"/>
        <w:ind w:left="5103"/>
        <w:rPr>
          <w:rFonts w:eastAsia="Times New Roman" w:cs="Times New Roman"/>
          <w:color w:val="000000"/>
          <w:sz w:val="22"/>
          <w:lang w:val="uk-UA" w:eastAsia="ru-RU"/>
        </w:rPr>
      </w:pPr>
      <w:r w:rsidRPr="00117BA0">
        <w:rPr>
          <w:rFonts w:eastAsia="Times New Roman" w:cs="Times New Roman"/>
          <w:color w:val="000000"/>
          <w:sz w:val="22"/>
          <w:lang w:val="uk-UA" w:eastAsia="ru-RU"/>
        </w:rPr>
        <w:t>до рішення від</w:t>
      </w:r>
      <w:r>
        <w:rPr>
          <w:rFonts w:eastAsia="Times New Roman" w:cs="Times New Roman"/>
          <w:color w:val="000000"/>
          <w:sz w:val="22"/>
          <w:lang w:val="uk-UA" w:eastAsia="ru-RU"/>
        </w:rPr>
        <w:t xml:space="preserve"> 20 червня № 110-31/2023</w:t>
      </w:r>
      <w:r w:rsidRPr="00117BA0">
        <w:rPr>
          <w:rFonts w:eastAsia="Times New Roman" w:cs="Times New Roman"/>
          <w:color w:val="000000"/>
          <w:sz w:val="22"/>
          <w:lang w:val="uk-UA" w:eastAsia="ru-RU"/>
        </w:rPr>
        <w:t xml:space="preserve"> 31 сесії </w:t>
      </w:r>
    </w:p>
    <w:p w:rsidR="0096325D" w:rsidRDefault="0096325D" w:rsidP="0096325D">
      <w:pPr>
        <w:spacing w:after="0"/>
        <w:ind w:left="5103"/>
        <w:jc w:val="both"/>
        <w:rPr>
          <w:sz w:val="22"/>
          <w:lang w:val="uk-UA"/>
        </w:rPr>
      </w:pPr>
      <w:r w:rsidRPr="00117BA0">
        <w:rPr>
          <w:rFonts w:eastAsia="Times New Roman" w:cs="Times New Roman"/>
          <w:color w:val="000000"/>
          <w:sz w:val="22"/>
          <w:lang w:val="uk-UA" w:eastAsia="ru-RU"/>
        </w:rPr>
        <w:t>восьмого скликання</w:t>
      </w:r>
      <w:r>
        <w:rPr>
          <w:rFonts w:eastAsia="Times New Roman" w:cs="Times New Roman"/>
          <w:color w:val="000000"/>
          <w:sz w:val="22"/>
          <w:lang w:val="uk-UA" w:eastAsia="ru-RU"/>
        </w:rPr>
        <w:t xml:space="preserve"> Ніжинської міської ради Чернігівської області</w:t>
      </w:r>
      <w:r w:rsidRPr="00117BA0">
        <w:rPr>
          <w:rFonts w:eastAsia="Times New Roman" w:cs="Times New Roman"/>
          <w:color w:val="000000"/>
          <w:sz w:val="22"/>
          <w:lang w:val="uk-UA" w:eastAsia="ru-RU"/>
        </w:rPr>
        <w:t xml:space="preserve"> «</w:t>
      </w:r>
      <w:r w:rsidRPr="00117BA0">
        <w:rPr>
          <w:sz w:val="22"/>
          <w:lang w:val="uk-UA"/>
        </w:rPr>
        <w:t xml:space="preserve">Про призначення </w:t>
      </w:r>
      <w:proofErr w:type="spellStart"/>
      <w:r w:rsidRPr="00117BA0">
        <w:rPr>
          <w:sz w:val="22"/>
          <w:lang w:val="uk-UA"/>
        </w:rPr>
        <w:t>балансоутримувачів</w:t>
      </w:r>
      <w:proofErr w:type="spellEnd"/>
      <w:r w:rsidRPr="00117BA0">
        <w:rPr>
          <w:sz w:val="22"/>
          <w:lang w:val="uk-UA"/>
        </w:rPr>
        <w:t xml:space="preserve"> укриттів цивільного захисту Ніжинської міської територіальної громади»</w:t>
      </w:r>
      <w:r>
        <w:rPr>
          <w:sz w:val="22"/>
          <w:lang w:val="uk-UA"/>
        </w:rPr>
        <w:t xml:space="preserve"> 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92"/>
        <w:gridCol w:w="3350"/>
        <w:gridCol w:w="2645"/>
        <w:gridCol w:w="3686"/>
      </w:tblGrid>
      <w:tr w:rsidR="0096325D" w:rsidRPr="00507BB9" w:rsidTr="00732AA6">
        <w:tc>
          <w:tcPr>
            <w:tcW w:w="492" w:type="dxa"/>
          </w:tcPr>
          <w:p w:rsidR="0096325D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з/п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Місцезнаходження захисної споруди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07BB9">
              <w:rPr>
                <w:rFonts w:eastAsia="Times New Roman" w:cs="Times New Roman"/>
                <w:sz w:val="22"/>
                <w:lang w:eastAsia="ru-RU"/>
              </w:rPr>
              <w:t>алансоутримувач</w:t>
            </w:r>
            <w:proofErr w:type="spellEnd"/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Характеристика споруди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Академіка Амосова, 6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709,8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Академіка Амосова, 12 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1-2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підїзд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 320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Академіка Амосова, 12 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3-4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підїзд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 320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Березанська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5 Г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905,9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12 В Друга Лінія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82,9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42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44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40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46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100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48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50/1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50/2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40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52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Космонавтів, 54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30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Станіслава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Прощенка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15 В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679,2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15.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Станіслава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Прощенка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40 Б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216,9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16.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Прилуцька, 10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60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17.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Прилуцька, 124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240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18.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Прилуцька, 164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КК «Північна»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120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19.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Академіка Амосова, 8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697,2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20.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Академіка Амосова, 16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420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Коцюбинського, 9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450,2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Купецька, 3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503,9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Незалежності, 27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360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24.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Незалежності, 21/1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593,9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25.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Незалежності, 21/2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594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rPr>
          <w:trHeight w:val="577"/>
        </w:trPr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lastRenderedPageBreak/>
              <w:t>26.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Незалежності, 40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254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27.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Незалежності, 46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950,7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28.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Обї</w:t>
            </w:r>
            <w:proofErr w:type="spellEnd"/>
            <w:r w:rsidRPr="00507BB9">
              <w:rPr>
                <w:rFonts w:eastAsia="Times New Roman" w:cs="Times New Roman"/>
                <w:sz w:val="22"/>
                <w:lang w:val="en-US" w:eastAsia="ru-RU"/>
              </w:rPr>
              <w:t>’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жджа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116/1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905,7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29.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Обї</w:t>
            </w:r>
            <w:proofErr w:type="spellEnd"/>
            <w:r w:rsidRPr="00507BB9">
              <w:rPr>
                <w:rFonts w:eastAsia="Times New Roman" w:cs="Times New Roman"/>
                <w:sz w:val="22"/>
                <w:lang w:val="en-US" w:eastAsia="ru-RU"/>
              </w:rPr>
              <w:t>’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жджа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116/5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897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30.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Овдіївська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171,4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Покровська, 12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382,9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Покровська, 14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556,1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Покровська, 16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704,3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34.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Покровська, 18А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722,3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35.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Синяківська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75А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946,4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36.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Синяківська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75Б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1239,7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37.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Станіслава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Прощенка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54Б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689,7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38.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м. Ніжин, вул. Станіслава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Прощенка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, 54Г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700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39.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83/3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687,8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40.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83/4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871,4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101А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1304,2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101 Б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224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104/1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593,4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44.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112А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1261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45.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112/2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962,8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46.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112/3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594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47.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114А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598,4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48.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114/1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950,7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49.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114/2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954,8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50.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114/3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250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51.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Шевченка, 114/4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1260,7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52.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Франка, 89 Б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50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96325D" w:rsidRPr="00507BB9" w:rsidTr="00732AA6">
        <w:tc>
          <w:tcPr>
            <w:tcW w:w="492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53.</w:t>
            </w:r>
          </w:p>
        </w:tc>
        <w:tc>
          <w:tcPr>
            <w:tcW w:w="3350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м. Ніжин, вул. Франка, 89 Г</w:t>
            </w:r>
          </w:p>
        </w:tc>
        <w:tc>
          <w:tcPr>
            <w:tcW w:w="2645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>КП «СЄЗ»</w:t>
            </w:r>
          </w:p>
        </w:tc>
        <w:tc>
          <w:tcPr>
            <w:tcW w:w="3686" w:type="dxa"/>
          </w:tcPr>
          <w:p w:rsidR="0096325D" w:rsidRPr="00507BB9" w:rsidRDefault="0096325D" w:rsidP="00732AA6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07BB9">
              <w:rPr>
                <w:rFonts w:eastAsia="Times New Roman" w:cs="Times New Roman"/>
                <w:sz w:val="22"/>
                <w:lang w:eastAsia="ru-RU"/>
              </w:rPr>
              <w:t xml:space="preserve">Вбудоване підвальне приміщення 88 </w:t>
            </w:r>
            <w:proofErr w:type="spellStart"/>
            <w:r w:rsidRPr="00507BB9">
              <w:rPr>
                <w:rFonts w:eastAsia="Times New Roman" w:cs="Times New Roman"/>
                <w:sz w:val="22"/>
                <w:lang w:eastAsia="ru-RU"/>
              </w:rPr>
              <w:t>кв.м</w:t>
            </w:r>
            <w:proofErr w:type="spellEnd"/>
            <w:r w:rsidRPr="00507BB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</w:tbl>
    <w:p w:rsidR="0096325D" w:rsidRPr="001C37DA" w:rsidRDefault="0096325D" w:rsidP="0096325D"/>
    <w:p w:rsidR="00525E2F" w:rsidRDefault="0096325D"/>
    <w:sectPr w:rsidR="00525E2F" w:rsidSect="001C37DA">
      <w:pgSz w:w="11906" w:h="16838"/>
      <w:pgMar w:top="568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65C8"/>
    <w:multiLevelType w:val="hybridMultilevel"/>
    <w:tmpl w:val="1ADA6B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5D"/>
    <w:rsid w:val="00656B7F"/>
    <w:rsid w:val="00737310"/>
    <w:rsid w:val="009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5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6325D"/>
    <w:rPr>
      <w:rFonts w:cs="Times New Roman"/>
    </w:rPr>
  </w:style>
  <w:style w:type="paragraph" w:styleId="a3">
    <w:name w:val="List Paragraph"/>
    <w:basedOn w:val="a"/>
    <w:uiPriority w:val="34"/>
    <w:qFormat/>
    <w:rsid w:val="00963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25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6325D"/>
    <w:rPr>
      <w:b/>
      <w:bCs/>
    </w:rPr>
  </w:style>
  <w:style w:type="table" w:styleId="a6">
    <w:name w:val="Table Grid"/>
    <w:basedOn w:val="a1"/>
    <w:uiPriority w:val="39"/>
    <w:rsid w:val="0096325D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25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5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6325D"/>
    <w:rPr>
      <w:rFonts w:cs="Times New Roman"/>
    </w:rPr>
  </w:style>
  <w:style w:type="paragraph" w:styleId="a3">
    <w:name w:val="List Paragraph"/>
    <w:basedOn w:val="a"/>
    <w:uiPriority w:val="34"/>
    <w:qFormat/>
    <w:rsid w:val="009632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25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6325D"/>
    <w:rPr>
      <w:b/>
      <w:bCs/>
    </w:rPr>
  </w:style>
  <w:style w:type="table" w:styleId="a6">
    <w:name w:val="Table Grid"/>
    <w:basedOn w:val="a1"/>
    <w:uiPriority w:val="39"/>
    <w:rsid w:val="0096325D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25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38-201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2023-06-26T06:09:00Z</dcterms:created>
  <dcterms:modified xsi:type="dcterms:W3CDTF">2023-06-26T06:10:00Z</dcterms:modified>
</cp:coreProperties>
</file>