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квітень 2023р.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щотижневі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виконавчого комітету Ніжинської міської ради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 сесії міської ради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Оксана ДОЛЯ</w:t>
      </w:r>
    </w:p>
    <w:p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квітень2023 року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на паперових носіях – 23 документи, в тому числі: для секретаря ради –17, відділу – 0, депутатам – 6. Листування електронною поштою – 83.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–26;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–31 ; 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–33;  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–0;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4, прийнято рішень – 33;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 35                           документів;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–1 документ;</w:t>
      </w:r>
    </w:p>
    <w:p>
      <w:pPr>
        <w:spacing w:after="0" w:line="240" w:lineRule="auto"/>
        <w:ind w:left="420" w:hanging="420" w:hangingChars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 1, розглянуто проектів рішень– 11,      прийнято – 11 рішень;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доручення  постійних комісій міської ради;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– 53 листи, повідомлень, відповідей на запити.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–40.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Оксана ДОЛЯ</w:t>
      </w:r>
    </w:p>
    <w:p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173D"/>
    <w:rsid w:val="001052D1"/>
    <w:rsid w:val="003E626A"/>
    <w:rsid w:val="00422DAF"/>
    <w:rsid w:val="00573A2F"/>
    <w:rsid w:val="00745608"/>
    <w:rsid w:val="008A31B0"/>
    <w:rsid w:val="008B2CED"/>
    <w:rsid w:val="008D173D"/>
    <w:rsid w:val="00E1693B"/>
    <w:rsid w:val="00E46533"/>
    <w:rsid w:val="23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uk-UA" w:eastAsia="en-US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uk-UA" w:eastAsia="en-US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uk-UA" w:eastAsia="en-US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uk-UA" w:eastAsia="en-US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  <w:lang w:val="uk-UA" w:eastAsia="en-US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lang w:val="uk-UA" w:eastAsia="en-US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lang w:val="uk-UA" w:eastAsia="en-US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val="uk-UA"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10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Заголовок 2 Знак"/>
    <w:basedOn w:val="10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Заголовок 3 Знак"/>
    <w:basedOn w:val="1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Заголовок 4 Знак"/>
    <w:basedOn w:val="10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Заголовок 5 Знак"/>
    <w:basedOn w:val="10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Заголовок 6 Знак"/>
    <w:basedOn w:val="10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Заголовок 7 Знак"/>
    <w:basedOn w:val="10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Заголовок 8 Знак"/>
    <w:basedOn w:val="10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2084</Words>
  <Characters>1189</Characters>
  <Lines>9</Lines>
  <Paragraphs>6</Paragraphs>
  <TotalTime>14</TotalTime>
  <ScaleCrop>false</ScaleCrop>
  <LinksUpToDate>false</LinksUpToDate>
  <CharactersWithSpaces>3267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2023-05-01T09:21:00Z</dcterms:created>
  <dc:creator>VNMR-49-T</dc:creator>
  <cp:lastModifiedBy>VNMR</cp:lastModifiedBy>
  <dcterms:modified xsi:type="dcterms:W3CDTF">2023-05-01T12:21:00Z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CE501914746742B1A7126407707C4C78</vt:lpwstr>
  </property>
</Properties>
</file>