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185"/>
        <w:jc w:val="center"/>
        <w:rPr>
          <w:rFonts w:hint="default" w:ascii="Times New Roman" w:hAnsi="Times New Roman"/>
          <w:b/>
          <w:spacing w:val="-1"/>
          <w:sz w:val="28"/>
          <w:szCs w:val="28"/>
          <w:lang w:val="uk-UA"/>
        </w:rPr>
      </w:pPr>
      <w:r>
        <w:rPr>
          <w:rFonts w:ascii="Times New Roman" w:hAnsi="Times New Roman"/>
          <w:b/>
          <w:spacing w:val="-1"/>
          <w:sz w:val="28"/>
          <w:szCs w:val="28"/>
          <w:lang w:val="uk-UA"/>
        </w:rPr>
        <w:t xml:space="preserve"> ПРИЙНЯТІ</w:t>
      </w:r>
      <w:r>
        <w:rPr>
          <w:rFonts w:hint="default" w:ascii="Times New Roman" w:hAnsi="Times New Roman"/>
          <w:b/>
          <w:spacing w:val="-1"/>
          <w:sz w:val="28"/>
          <w:szCs w:val="28"/>
          <w:lang w:val="uk-UA"/>
        </w:rPr>
        <w:t xml:space="preserve"> РІШЕННЯ</w:t>
      </w:r>
    </w:p>
    <w:p>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Тридцятої  позачергової сесії Ніжинської міської ради </w:t>
      </w:r>
      <w:r>
        <w:rPr>
          <w:rFonts w:ascii="Times New Roman" w:hAnsi="Times New Roman"/>
          <w:b/>
          <w:i/>
          <w:spacing w:val="-1"/>
          <w:sz w:val="28"/>
          <w:szCs w:val="28"/>
          <w:lang w:val="en-US"/>
        </w:rPr>
        <w:t>VII</w:t>
      </w:r>
      <w:r>
        <w:rPr>
          <w:rFonts w:ascii="Times New Roman" w:hAnsi="Times New Roman"/>
          <w:b/>
          <w:i/>
          <w:spacing w:val="-1"/>
          <w:sz w:val="28"/>
          <w:szCs w:val="28"/>
          <w:lang w:val="uk-UA"/>
        </w:rPr>
        <w:t>І скликання</w:t>
      </w:r>
    </w:p>
    <w:p>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18 квітня  2023 року</w:t>
      </w:r>
    </w:p>
    <w:p>
      <w:pPr>
        <w:spacing w:after="0" w:line="240" w:lineRule="auto"/>
        <w:ind w:right="-185"/>
        <w:jc w:val="center"/>
        <w:rPr>
          <w:rFonts w:ascii="Times New Roman" w:hAnsi="Times New Roman"/>
          <w:b/>
          <w:i/>
          <w:spacing w:val="-1"/>
          <w:sz w:val="28"/>
          <w:szCs w:val="28"/>
          <w:lang w:val="uk-UA"/>
        </w:rPr>
      </w:pPr>
    </w:p>
    <w:tbl>
      <w:tblPr>
        <w:tblStyle w:val="3"/>
        <w:tblW w:w="5448" w:type="pct"/>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7390"/>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9" w:type="dxa"/>
            <w:tcBorders>
              <w:top w:val="single" w:color="000000" w:sz="4" w:space="0"/>
              <w:left w:val="single" w:color="000000" w:sz="4" w:space="0"/>
              <w:bottom w:val="single" w:color="000000" w:sz="4" w:space="0"/>
              <w:right w:val="single" w:color="000000" w:sz="4" w:space="0"/>
            </w:tcBorders>
            <w:vAlign w:val="top"/>
          </w:tcPr>
          <w:p>
            <w:pPr>
              <w:spacing w:after="0" w:line="240" w:lineRule="auto"/>
              <w:ind w:right="-185" w:rightChars="0"/>
              <w:jc w:val="both"/>
              <w:rPr>
                <w:rFonts w:ascii="Times New Roman" w:hAnsi="Times New Roman"/>
                <w:b/>
                <w:spacing w:val="-1"/>
                <w:sz w:val="28"/>
                <w:szCs w:val="28"/>
                <w:lang w:val="uk-UA" w:eastAsia="uk-UA"/>
              </w:rPr>
            </w:pPr>
            <w:r>
              <w:rPr>
                <w:rFonts w:ascii="Times New Roman" w:hAnsi="Times New Roman"/>
                <w:b/>
                <w:spacing w:val="-1"/>
                <w:sz w:val="28"/>
                <w:szCs w:val="28"/>
                <w:lang w:val="uk-UA"/>
              </w:rPr>
              <w:t>№</w:t>
            </w:r>
          </w:p>
        </w:tc>
        <w:tc>
          <w:tcPr>
            <w:tcW w:w="7390" w:type="dxa"/>
            <w:tcBorders>
              <w:top w:val="single" w:color="000000" w:sz="4" w:space="0"/>
              <w:left w:val="single" w:color="000000" w:sz="4" w:space="0"/>
              <w:bottom w:val="single" w:color="000000" w:sz="4" w:space="0"/>
              <w:right w:val="single" w:color="000000" w:sz="4" w:space="0"/>
            </w:tcBorders>
            <w:vAlign w:val="top"/>
          </w:tcPr>
          <w:p>
            <w:pPr>
              <w:pStyle w:val="8"/>
              <w:jc w:val="center"/>
              <w:rPr>
                <w:rFonts w:ascii="Times New Roman" w:hAnsi="Times New Roman"/>
                <w:b/>
                <w:sz w:val="28"/>
                <w:szCs w:val="28"/>
                <w:lang w:val="uk-UA" w:eastAsia="uk-UA"/>
              </w:rPr>
            </w:pPr>
            <w:r>
              <w:rPr>
                <w:rFonts w:ascii="Times New Roman" w:hAnsi="Times New Roman"/>
                <w:b/>
                <w:sz w:val="28"/>
                <w:szCs w:val="28"/>
                <w:lang w:val="uk-UA"/>
              </w:rPr>
              <w:t>Назва</w:t>
            </w:r>
            <w:r>
              <w:rPr>
                <w:rFonts w:hint="default" w:ascii="Times New Roman" w:hAnsi="Times New Roman"/>
                <w:b/>
                <w:sz w:val="28"/>
                <w:szCs w:val="28"/>
                <w:lang w:val="uk-UA"/>
              </w:rPr>
              <w:t xml:space="preserve"> </w:t>
            </w:r>
            <w:r>
              <w:rPr>
                <w:rFonts w:ascii="Times New Roman" w:hAnsi="Times New Roman"/>
                <w:b/>
                <w:sz w:val="28"/>
                <w:szCs w:val="28"/>
                <w:lang w:val="uk-UA"/>
              </w:rPr>
              <w:t xml:space="preserve"> рішення</w:t>
            </w:r>
          </w:p>
        </w:tc>
        <w:tc>
          <w:tcPr>
            <w:tcW w:w="2190" w:type="dxa"/>
            <w:tcBorders>
              <w:top w:val="single" w:color="000000" w:sz="4" w:space="0"/>
              <w:left w:val="single" w:color="000000" w:sz="4" w:space="0"/>
              <w:bottom w:val="single" w:color="000000" w:sz="4" w:space="0"/>
              <w:right w:val="single" w:color="000000" w:sz="4" w:space="0"/>
            </w:tcBorders>
            <w:vAlign w:val="center"/>
          </w:tcPr>
          <w:p>
            <w:pPr>
              <w:pStyle w:val="8"/>
              <w:rPr>
                <w:rFonts w:ascii="Times New Roman" w:hAnsi="Times New Roman"/>
                <w:b/>
                <w:sz w:val="24"/>
                <w:szCs w:val="24"/>
                <w:lang w:val="uk-UA" w:eastAsia="uk-UA"/>
              </w:rPr>
            </w:pPr>
            <w:r>
              <w:rPr>
                <w:rFonts w:ascii="Times New Roman" w:hAnsi="Times New Roman"/>
                <w:b/>
                <w:sz w:val="24"/>
                <w:szCs w:val="24"/>
                <w:lang w:val="uk-UA"/>
              </w:rPr>
              <w:t>Номер</w:t>
            </w:r>
            <w:r>
              <w:rPr>
                <w:rFonts w:hint="default" w:ascii="Times New Roman" w:hAnsi="Times New Roman"/>
                <w:b/>
                <w:sz w:val="24"/>
                <w:szCs w:val="24"/>
                <w:lang w:val="uk-UA"/>
              </w:rPr>
              <w:t xml:space="preserve"> рішення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pStyle w:val="15"/>
              <w:widowControl w:val="0"/>
              <w:spacing w:before="0" w:beforeAutospacing="0" w:after="0" w:afterAutospacing="0"/>
              <w:ind w:right="14"/>
              <w:jc w:val="both"/>
              <w:rPr>
                <w:sz w:val="28"/>
                <w:szCs w:val="28"/>
                <w:lang w:val="uk-UA" w:eastAsia="uk-UA"/>
              </w:rPr>
            </w:pPr>
            <w:r>
              <w:rPr>
                <w:spacing w:val="-1"/>
                <w:sz w:val="28"/>
                <w:szCs w:val="28"/>
                <w:lang w:val="uk-UA"/>
              </w:rPr>
              <w:t xml:space="preserve">Про внесення   змін до  рішення Ніжинської міської ради  VІІІ  скликання  від 07 грудня 2022 року № 4-26/2022 «Про бюджет Ніжинської міської  територіальної громади на 2023 рік  (код бюджету 2553800000)»; </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hint="default" w:ascii="Times New Roman" w:hAnsi="Times New Roman"/>
                <w:i/>
                <w:sz w:val="27"/>
                <w:szCs w:val="27"/>
                <w:lang w:val="uk-UA" w:eastAsia="en-US"/>
              </w:rPr>
            </w:pPr>
            <w:r>
              <w:rPr>
                <w:rFonts w:hint="default" w:ascii="Times New Roman" w:hAnsi="Times New Roman"/>
                <w:i/>
                <w:sz w:val="27"/>
                <w:szCs w:val="27"/>
                <w:lang w:val="uk-UA" w:eastAsia="en-US"/>
              </w:rPr>
              <w:t>1-30/2023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pStyle w:val="15"/>
              <w:widowControl w:val="0"/>
              <w:spacing w:before="0" w:beforeAutospacing="0" w:after="0" w:afterAutospacing="0"/>
              <w:ind w:right="14"/>
              <w:jc w:val="both"/>
              <w:rPr>
                <w:sz w:val="28"/>
                <w:szCs w:val="28"/>
                <w:lang w:val="uk-UA" w:eastAsia="uk-UA"/>
              </w:rPr>
            </w:pPr>
            <w:r>
              <w:rPr>
                <w:spacing w:val="-1"/>
                <w:sz w:val="28"/>
                <w:szCs w:val="28"/>
                <w:lang w:val="uk-UA"/>
              </w:rPr>
              <w:t>Про внесення змін до “Програми матеріально-технічного забезпечення військових частин для виконання оборонних заходів на 2022-2023роки”(ПР №1284 від 07.04.2023)</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2-30/2023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rPr>
                <w:rFonts w:ascii="Times New Roman" w:hAnsi="Times New Roman"/>
                <w:sz w:val="28"/>
                <w:szCs w:val="28"/>
                <w:lang w:val="uk-UA" w:eastAsia="uk-UA"/>
              </w:rPr>
            </w:pPr>
            <w:bookmarkStart w:id="0" w:name="_Hlk132190706"/>
            <w:r>
              <w:rPr>
                <w:rFonts w:ascii="Times New Roman" w:hAnsi="Times New Roman"/>
                <w:sz w:val="28"/>
                <w:szCs w:val="28"/>
                <w:lang w:val="uk-UA"/>
              </w:rPr>
              <w:t>Про внесення змін в міську   цільову програму</w:t>
            </w:r>
            <w:bookmarkStart w:id="1" w:name="_Hlk132188538"/>
            <w:bookmarkStart w:id="2" w:name="_Hlk93155217"/>
            <w:r>
              <w:rPr>
                <w:rFonts w:hint="default" w:ascii="Times New Roman" w:hAnsi="Times New Roman"/>
                <w:sz w:val="28"/>
                <w:szCs w:val="28"/>
                <w:lang w:val="uk-UA"/>
              </w:rPr>
              <w:t xml:space="preserve"> </w:t>
            </w:r>
            <w:r>
              <w:rPr>
                <w:rFonts w:ascii="Times New Roman" w:hAnsi="Times New Roman"/>
                <w:sz w:val="28"/>
                <w:szCs w:val="28"/>
                <w:lang w:val="uk-UA" w:eastAsia="zh-CN"/>
              </w:rPr>
              <w:t xml:space="preserve">з виконання  власних  повноважень Ніжинської міської  ради на 2023рік </w:t>
            </w:r>
            <w:r>
              <w:rPr>
                <w:rFonts w:ascii="Times New Roman" w:hAnsi="Times New Roman"/>
                <w:spacing w:val="-1"/>
                <w:sz w:val="28"/>
                <w:szCs w:val="28"/>
                <w:lang w:val="uk-UA"/>
              </w:rPr>
              <w:t>(ПР №1289 від 13.04.2023)</w:t>
            </w:r>
            <w:bookmarkEnd w:id="0"/>
            <w:bookmarkEnd w:id="1"/>
            <w:bookmarkEnd w:id="2"/>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3-30/2023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4"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sz w:val="28"/>
                <w:szCs w:val="28"/>
                <w:lang w:val="uk-UA" w:eastAsia="uk-UA"/>
              </w:rPr>
            </w:pPr>
            <w:r>
              <w:rPr>
                <w:rFonts w:ascii="Times New Roman" w:hAnsi="Times New Roman"/>
                <w:sz w:val="28"/>
                <w:szCs w:val="28"/>
                <w:lang w:val="uk-UA"/>
              </w:rPr>
              <w:t>Про внесення змін до рішення Ніжинської  міської ради від 07</w:t>
            </w:r>
            <w:r>
              <w:rPr>
                <w:rFonts w:ascii="Times New Roman" w:hAnsi="Times New Roman"/>
                <w:sz w:val="28"/>
                <w:lang w:val="uk-UA"/>
              </w:rPr>
              <w:t xml:space="preserve"> грудня 2022 року № 3-26/2022 </w:t>
            </w:r>
            <w:r>
              <w:rPr>
                <w:rFonts w:ascii="Times New Roman" w:hAnsi="Times New Roman"/>
                <w:sz w:val="28"/>
                <w:szCs w:val="28"/>
                <w:lang w:val="uk-UA"/>
              </w:rPr>
              <w:t xml:space="preserve">«Про затвердження програм місцевого/регіонального значення на 2023 рік» </w:t>
            </w:r>
            <w:r>
              <w:rPr>
                <w:rFonts w:ascii="Times New Roman" w:hAnsi="Times New Roman"/>
                <w:spacing w:val="-1"/>
                <w:sz w:val="28"/>
                <w:szCs w:val="28"/>
                <w:lang w:val="uk-UA"/>
              </w:rPr>
              <w:t>(ПР №1290 від 13.04.2023)</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4-30/2023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jc w:val="both"/>
              <w:rPr>
                <w:rFonts w:ascii="Times New Roman" w:hAnsi="Times New Roman"/>
                <w:sz w:val="28"/>
                <w:szCs w:val="28"/>
                <w:lang w:val="uk-UA" w:eastAsia="uk-UA"/>
              </w:rPr>
            </w:pPr>
            <w:r>
              <w:rPr>
                <w:rFonts w:ascii="Times New Roman" w:hAnsi="Times New Roman"/>
                <w:sz w:val="28"/>
                <w:szCs w:val="28"/>
                <w:lang w:val="uk-UA"/>
              </w:rPr>
              <w:t xml:space="preserve">Про затвердження </w:t>
            </w:r>
            <w:r>
              <w:rPr>
                <w:rFonts w:ascii="Times New Roman" w:hAnsi="Times New Roman"/>
                <w:color w:val="000000" w:themeColor="text1"/>
                <w:sz w:val="28"/>
                <w:szCs w:val="28"/>
                <w:lang w:val="uk-UA"/>
              </w:rPr>
              <w:t xml:space="preserve">передавального акту балансових рахунків, матеріальних цінностей та активів, Комунального некомерційного підприємства «Ніжинська центральна районна лікарня» Ніжинської міської ради Чернігівської області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w:t>
            </w:r>
            <w:r>
              <w:rPr>
                <w:rFonts w:ascii="Times New Roman" w:hAnsi="Times New Roman"/>
                <w:spacing w:val="-1"/>
                <w:sz w:val="28"/>
                <w:szCs w:val="28"/>
                <w:lang w:val="uk-UA"/>
              </w:rPr>
              <w:t>(ПР №1295 від 17.04.2023)</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5-30/2023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tabs>
                <w:tab w:val="left" w:pos="3544"/>
              </w:tabs>
              <w:jc w:val="both"/>
              <w:rPr>
                <w:rFonts w:ascii="Times New Roman" w:hAnsi="Times New Roman"/>
                <w:sz w:val="28"/>
                <w:szCs w:val="28"/>
                <w:lang w:val="uk-UA" w:eastAsia="uk-UA"/>
              </w:rPr>
            </w:pPr>
            <w:r>
              <w:rPr>
                <w:rFonts w:ascii="Times New Roman" w:hAnsi="Times New Roman"/>
                <w:bCs/>
                <w:sz w:val="28"/>
                <w:szCs w:val="28"/>
              </w:rPr>
              <w:t>Про погодження КП «ВУКГ»договору на придбання</w:t>
            </w:r>
            <w:r>
              <w:rPr>
                <w:rFonts w:hint="default" w:ascii="Times New Roman" w:hAnsi="Times New Roman"/>
                <w:bCs/>
                <w:sz w:val="28"/>
                <w:szCs w:val="28"/>
                <w:lang w:val="uk-UA"/>
              </w:rPr>
              <w:t xml:space="preserve"> </w:t>
            </w:r>
            <w:r>
              <w:rPr>
                <w:rFonts w:ascii="Times New Roman" w:hAnsi="Times New Roman"/>
                <w:bCs/>
                <w:sz w:val="28"/>
                <w:szCs w:val="28"/>
              </w:rPr>
              <w:t xml:space="preserve">сміттєвоза з боковим завантаженням АТ 4022 на шасі </w:t>
            </w:r>
            <w:r>
              <w:rPr>
                <w:rFonts w:ascii="Times New Roman" w:hAnsi="Times New Roman"/>
                <w:bCs/>
                <w:sz w:val="28"/>
                <w:szCs w:val="28"/>
                <w:lang w:val="en-US"/>
              </w:rPr>
              <w:t>DAYUNCGC</w:t>
            </w:r>
            <w:r>
              <w:rPr>
                <w:rFonts w:ascii="Times New Roman" w:hAnsi="Times New Roman"/>
                <w:bCs/>
                <w:sz w:val="28"/>
                <w:szCs w:val="28"/>
              </w:rPr>
              <w:t>-1120</w:t>
            </w:r>
            <w:r>
              <w:rPr>
                <w:rFonts w:ascii="Times New Roman" w:hAnsi="Times New Roman"/>
                <w:bCs/>
                <w:sz w:val="28"/>
                <w:szCs w:val="28"/>
                <w:lang w:val="uk-UA"/>
              </w:rPr>
              <w:t xml:space="preserve"> </w:t>
            </w:r>
            <w:r>
              <w:rPr>
                <w:rFonts w:ascii="Times New Roman" w:hAnsi="Times New Roman"/>
                <w:spacing w:val="-1"/>
                <w:sz w:val="28"/>
                <w:szCs w:val="28"/>
                <w:lang w:val="uk-UA"/>
              </w:rPr>
              <w:t>(ПР №1286 від 12.04.2023)</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6-30/2023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spacing w:line="0" w:lineRule="atLeast"/>
              <w:ind w:right="40"/>
              <w:jc w:val="both"/>
              <w:rPr>
                <w:rFonts w:ascii="Times New Roman" w:hAnsi="Times New Roman"/>
                <w:sz w:val="28"/>
                <w:szCs w:val="28"/>
                <w:lang w:val="uk-UA" w:eastAsia="uk-UA"/>
              </w:rPr>
            </w:pPr>
            <w:r>
              <w:rPr>
                <w:rFonts w:ascii="Times New Roman" w:hAnsi="Times New Roman"/>
                <w:sz w:val="28"/>
                <w:szCs w:val="28"/>
                <w:lang w:val="uk-UA"/>
              </w:rPr>
              <w:t>Про затвердження Стратегії розвитку</w:t>
            </w:r>
            <w:r>
              <w:rPr>
                <w:rFonts w:hint="default" w:ascii="Times New Roman" w:hAnsi="Times New Roman"/>
                <w:sz w:val="28"/>
                <w:szCs w:val="28"/>
                <w:lang w:val="uk-UA"/>
              </w:rPr>
              <w:t xml:space="preserve"> </w:t>
            </w:r>
            <w:r>
              <w:rPr>
                <w:rFonts w:ascii="Times New Roman" w:hAnsi="Times New Roman"/>
                <w:sz w:val="28"/>
                <w:szCs w:val="28"/>
                <w:lang w:val="uk-UA"/>
              </w:rPr>
              <w:t>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до 2028 року та операційного плану її реалізації у 2023 році</w:t>
            </w:r>
            <w:r>
              <w:rPr>
                <w:rFonts w:ascii="Times New Roman" w:hAnsi="Times New Roman"/>
                <w:spacing w:val="-1"/>
                <w:sz w:val="28"/>
                <w:szCs w:val="28"/>
                <w:lang w:val="uk-UA"/>
              </w:rPr>
              <w:t>(ПР №1294 від 14.04.2023)</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7-30/2023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tabs>
                <w:tab w:val="left" w:pos="6480"/>
                <w:tab w:val="left" w:pos="6690"/>
              </w:tabs>
              <w:spacing w:after="0" w:line="240" w:lineRule="auto"/>
              <w:ind w:right="14"/>
              <w:jc w:val="both"/>
              <w:rPr>
                <w:rFonts w:ascii="Times New Roman" w:hAnsi="Times New Roman"/>
                <w:sz w:val="28"/>
                <w:szCs w:val="28"/>
                <w:lang w:val="uk-UA" w:eastAsia="uk-UA"/>
              </w:rPr>
            </w:pPr>
            <w:r>
              <w:rPr>
                <w:rFonts w:ascii="Times New Roman" w:hAnsi="Times New Roman"/>
                <w:bCs/>
                <w:sz w:val="28"/>
                <w:szCs w:val="28"/>
                <w:lang w:val="uk-UA"/>
              </w:rPr>
              <w:t xml:space="preserve">Про затвердження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Ніжинської міської ради Чернігівської області </w:t>
            </w:r>
            <w:r>
              <w:rPr>
                <w:rFonts w:ascii="Times New Roman" w:hAnsi="Times New Roman"/>
                <w:spacing w:val="-1"/>
                <w:sz w:val="28"/>
                <w:szCs w:val="28"/>
                <w:lang w:val="uk-UA"/>
              </w:rPr>
              <w:t>(ПР №1288 від 13.04.2023)</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8-30/2023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pStyle w:val="8"/>
              <w:jc w:val="both"/>
              <w:rPr>
                <w:rFonts w:ascii="Times New Roman" w:hAnsi="Times New Roman"/>
                <w:sz w:val="28"/>
                <w:szCs w:val="28"/>
                <w:lang w:val="uk-UA" w:eastAsia="uk-UA"/>
              </w:rPr>
            </w:pPr>
            <w:r>
              <w:rPr>
                <w:rFonts w:ascii="Times New Roman" w:hAnsi="Times New Roman"/>
                <w:bCs/>
                <w:sz w:val="28"/>
                <w:szCs w:val="28"/>
                <w:lang w:val="uk-UA"/>
              </w:rPr>
              <w:t>Про затвердження структури та штатної чисельності працівників територіального центру соціального обслуговування (надання соціальних послуг) Ніжинської міської ради Чернігівської області</w:t>
            </w:r>
            <w:r>
              <w:rPr>
                <w:rFonts w:hint="default" w:ascii="Times New Roman" w:hAnsi="Times New Roman"/>
                <w:bCs/>
                <w:sz w:val="28"/>
                <w:szCs w:val="28"/>
                <w:lang w:val="uk-UA"/>
              </w:rPr>
              <w:t xml:space="preserve"> </w:t>
            </w:r>
            <w:r>
              <w:rPr>
                <w:rFonts w:ascii="Times New Roman" w:hAnsi="Times New Roman"/>
                <w:spacing w:val="-1"/>
                <w:sz w:val="28"/>
                <w:szCs w:val="28"/>
                <w:lang w:val="uk-UA"/>
              </w:rPr>
              <w:t>(ПР №1287 від 13.04.2023)</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9-30/2023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pStyle w:val="15"/>
              <w:spacing w:before="0" w:beforeAutospacing="0" w:after="0" w:afterAutospacing="0"/>
              <w:jc w:val="both"/>
              <w:rPr>
                <w:bCs/>
                <w:sz w:val="28"/>
                <w:szCs w:val="28"/>
              </w:rPr>
            </w:pPr>
            <w:r>
              <w:rPr>
                <w:color w:val="000000"/>
                <w:sz w:val="28"/>
                <w:szCs w:val="28"/>
              </w:rPr>
              <w:t>Про приведення у відповідність документів</w:t>
            </w:r>
            <w:r>
              <w:rPr>
                <w:rFonts w:hint="default"/>
                <w:color w:val="000000"/>
                <w:sz w:val="28"/>
                <w:szCs w:val="28"/>
                <w:lang w:val="uk-UA"/>
              </w:rPr>
              <w:t xml:space="preserve"> </w:t>
            </w:r>
            <w:r>
              <w:rPr>
                <w:color w:val="000000"/>
                <w:sz w:val="28"/>
                <w:szCs w:val="28"/>
              </w:rPr>
              <w:t xml:space="preserve">комунального підприємства КТВП «Школяр»  та внесення змін до статуту підприємства </w:t>
            </w:r>
            <w:r>
              <w:rPr>
                <w:spacing w:val="-1"/>
                <w:sz w:val="28"/>
                <w:szCs w:val="28"/>
                <w:lang w:val="uk-UA"/>
              </w:rPr>
              <w:t>(ПР №129</w:t>
            </w:r>
            <w:r>
              <w:rPr>
                <w:spacing w:val="-1"/>
                <w:sz w:val="28"/>
                <w:szCs w:val="28"/>
              </w:rPr>
              <w:t>6</w:t>
            </w:r>
            <w:r>
              <w:rPr>
                <w:spacing w:val="-1"/>
                <w:sz w:val="28"/>
                <w:szCs w:val="28"/>
                <w:lang w:val="uk-UA"/>
              </w:rPr>
              <w:t xml:space="preserve"> від 17.04.2023)</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eastAsia="en-US"/>
              </w:rPr>
            </w:pPr>
            <w:r>
              <w:rPr>
                <w:rFonts w:hint="default" w:ascii="Times New Roman" w:hAnsi="Times New Roman"/>
                <w:i/>
                <w:sz w:val="27"/>
                <w:szCs w:val="27"/>
                <w:lang w:val="uk-UA" w:eastAsia="en-US"/>
              </w:rPr>
              <w:t>10-30/2023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49" w:type="dxa"/>
            <w:tcBorders>
              <w:top w:val="single" w:color="auto" w:sz="4" w:space="0"/>
              <w:left w:val="single" w:color="000000" w:sz="4" w:space="0"/>
              <w:bottom w:val="single" w:color="auto" w:sz="4" w:space="0"/>
              <w:right w:val="single" w:color="000000" w:sz="4" w:space="0"/>
            </w:tcBorders>
          </w:tcPr>
          <w:p>
            <w:pPr>
              <w:pStyle w:val="8"/>
              <w:numPr>
                <w:ilvl w:val="0"/>
                <w:numId w:val="1"/>
              </w:numPr>
              <w:jc w:val="center"/>
              <w:rPr>
                <w:rFonts w:ascii="Times New Roman" w:hAnsi="Times New Roman"/>
                <w:sz w:val="28"/>
                <w:szCs w:val="28"/>
                <w:lang w:val="uk-UA" w:eastAsia="en-US"/>
              </w:rPr>
            </w:pPr>
          </w:p>
        </w:tc>
        <w:tc>
          <w:tcPr>
            <w:tcW w:w="7390" w:type="dxa"/>
            <w:tcBorders>
              <w:top w:val="single" w:color="auto" w:sz="4" w:space="0"/>
              <w:left w:val="single" w:color="000000" w:sz="4" w:space="0"/>
              <w:bottom w:val="single" w:color="auto" w:sz="4" w:space="0"/>
              <w:right w:val="single" w:color="000000" w:sz="4" w:space="0"/>
            </w:tcBorders>
          </w:tcPr>
          <w:p>
            <w:pPr>
              <w:pStyle w:val="15"/>
              <w:spacing w:before="0" w:beforeAutospacing="0" w:after="0" w:afterAutospacing="0"/>
              <w:rPr>
                <w:color w:val="000000"/>
                <w:sz w:val="28"/>
                <w:szCs w:val="28"/>
                <w:lang w:val="uk-UA"/>
              </w:rPr>
            </w:pPr>
            <w:r>
              <w:rPr>
                <w:color w:val="000000"/>
                <w:sz w:val="28"/>
                <w:szCs w:val="28"/>
                <w:lang w:val="uk-UA"/>
              </w:rPr>
              <w:t xml:space="preserve">Про затвердження меморандумів про взаєморозуміння й співробітництво </w:t>
            </w:r>
            <w:r>
              <w:rPr>
                <w:spacing w:val="-1"/>
                <w:sz w:val="28"/>
                <w:szCs w:val="28"/>
                <w:lang w:val="uk-UA"/>
              </w:rPr>
              <w:t>(ПР №1297 від 17.04.2023)</w:t>
            </w:r>
          </w:p>
        </w:tc>
        <w:tc>
          <w:tcPr>
            <w:tcW w:w="2190" w:type="dxa"/>
            <w:tcBorders>
              <w:top w:val="single" w:color="auto" w:sz="4" w:space="0"/>
              <w:left w:val="single" w:color="000000" w:sz="4" w:space="0"/>
              <w:bottom w:val="single" w:color="auto" w:sz="4" w:space="0"/>
              <w:right w:val="single" w:color="000000" w:sz="4" w:space="0"/>
            </w:tcBorders>
          </w:tcPr>
          <w:p>
            <w:pPr>
              <w:pStyle w:val="8"/>
              <w:spacing w:line="240" w:lineRule="auto"/>
              <w:jc w:val="both"/>
              <w:rPr>
                <w:rFonts w:ascii="Times New Roman" w:hAnsi="Times New Roman"/>
                <w:i/>
                <w:sz w:val="27"/>
                <w:szCs w:val="27"/>
                <w:lang w:val="uk-UA" w:eastAsia="en-US"/>
              </w:rPr>
            </w:pPr>
            <w:r>
              <w:rPr>
                <w:rFonts w:hint="default" w:ascii="Times New Roman" w:hAnsi="Times New Roman"/>
                <w:i/>
                <w:sz w:val="27"/>
                <w:szCs w:val="27"/>
                <w:lang w:val="uk-UA" w:eastAsia="en-US"/>
              </w:rPr>
              <w:t>11-30/2023</w:t>
            </w:r>
          </w:p>
        </w:tc>
      </w:tr>
    </w:tbl>
    <w:p>
      <w:pPr>
        <w:spacing w:after="0" w:line="240" w:lineRule="auto"/>
        <w:jc w:val="both"/>
        <w:rPr>
          <w:rFonts w:ascii="Times New Roman" w:hAnsi="Times New Roman"/>
          <w:sz w:val="28"/>
          <w:szCs w:val="24"/>
          <w:lang w:val="uk-UA"/>
        </w:rPr>
      </w:pPr>
      <w:bookmarkStart w:id="3" w:name="_GoBack"/>
      <w:bookmarkEnd w:id="3"/>
    </w:p>
    <w:sectPr>
      <w:pgSz w:w="11906" w:h="16838"/>
      <w:pgMar w:top="91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D227A"/>
    <w:multiLevelType w:val="multilevel"/>
    <w:tmpl w:val="586D227A"/>
    <w:lvl w:ilvl="0" w:tentative="0">
      <w:start w:val="1"/>
      <w:numFmt w:val="decimal"/>
      <w:lvlText w:val="%1."/>
      <w:lvlJc w:val="left"/>
      <w:pPr>
        <w:ind w:left="58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4B33A2"/>
    <w:rsid w:val="000605B9"/>
    <w:rsid w:val="000852D1"/>
    <w:rsid w:val="000A3063"/>
    <w:rsid w:val="00156561"/>
    <w:rsid w:val="00187FB2"/>
    <w:rsid w:val="001963BF"/>
    <w:rsid w:val="001A35C7"/>
    <w:rsid w:val="001C2875"/>
    <w:rsid w:val="001E6DC8"/>
    <w:rsid w:val="00201C3D"/>
    <w:rsid w:val="00213512"/>
    <w:rsid w:val="0026258F"/>
    <w:rsid w:val="00262FF2"/>
    <w:rsid w:val="002D0ADE"/>
    <w:rsid w:val="002D2C39"/>
    <w:rsid w:val="003163C1"/>
    <w:rsid w:val="003210AB"/>
    <w:rsid w:val="003878B5"/>
    <w:rsid w:val="003A6BF8"/>
    <w:rsid w:val="003B70BF"/>
    <w:rsid w:val="00423C4A"/>
    <w:rsid w:val="00430EC2"/>
    <w:rsid w:val="0046469D"/>
    <w:rsid w:val="00481165"/>
    <w:rsid w:val="004B29B3"/>
    <w:rsid w:val="004B33A2"/>
    <w:rsid w:val="004C6754"/>
    <w:rsid w:val="005156B1"/>
    <w:rsid w:val="005172BD"/>
    <w:rsid w:val="00526874"/>
    <w:rsid w:val="005A5F21"/>
    <w:rsid w:val="005B3453"/>
    <w:rsid w:val="005E0AF5"/>
    <w:rsid w:val="005E42E0"/>
    <w:rsid w:val="00687466"/>
    <w:rsid w:val="006A3926"/>
    <w:rsid w:val="006C0A68"/>
    <w:rsid w:val="00704E9C"/>
    <w:rsid w:val="007609D2"/>
    <w:rsid w:val="00786BE4"/>
    <w:rsid w:val="007A5BCE"/>
    <w:rsid w:val="007D6364"/>
    <w:rsid w:val="00817FEC"/>
    <w:rsid w:val="00854C35"/>
    <w:rsid w:val="00883633"/>
    <w:rsid w:val="008921AD"/>
    <w:rsid w:val="008B6DCF"/>
    <w:rsid w:val="009331AA"/>
    <w:rsid w:val="00946734"/>
    <w:rsid w:val="00961976"/>
    <w:rsid w:val="00993A32"/>
    <w:rsid w:val="00995721"/>
    <w:rsid w:val="00A00A8A"/>
    <w:rsid w:val="00A256C5"/>
    <w:rsid w:val="00A41CAF"/>
    <w:rsid w:val="00A72715"/>
    <w:rsid w:val="00AD16DB"/>
    <w:rsid w:val="00B44D26"/>
    <w:rsid w:val="00BA3F4E"/>
    <w:rsid w:val="00BE4FFC"/>
    <w:rsid w:val="00C118AB"/>
    <w:rsid w:val="00C8342F"/>
    <w:rsid w:val="00C90DB4"/>
    <w:rsid w:val="00CB6CD1"/>
    <w:rsid w:val="00D402A6"/>
    <w:rsid w:val="00D60063"/>
    <w:rsid w:val="00D63469"/>
    <w:rsid w:val="00DA2581"/>
    <w:rsid w:val="00DA661B"/>
    <w:rsid w:val="00DE23F7"/>
    <w:rsid w:val="00E6275E"/>
    <w:rsid w:val="00E91A11"/>
    <w:rsid w:val="00EF62F3"/>
    <w:rsid w:val="00EF7752"/>
    <w:rsid w:val="00F710AB"/>
    <w:rsid w:val="00F806C1"/>
    <w:rsid w:val="00F85519"/>
    <w:rsid w:val="00F86E86"/>
    <w:rsid w:val="00FB73BC"/>
    <w:rsid w:val="00FD6B31"/>
    <w:rsid w:val="05365D2E"/>
    <w:rsid w:val="08A8283E"/>
    <w:rsid w:val="0A6D3B12"/>
    <w:rsid w:val="10D44B91"/>
    <w:rsid w:val="119C3C20"/>
    <w:rsid w:val="179729EE"/>
    <w:rsid w:val="192F2715"/>
    <w:rsid w:val="1D760A4C"/>
    <w:rsid w:val="20947DB6"/>
    <w:rsid w:val="21AA43FA"/>
    <w:rsid w:val="21F310E8"/>
    <w:rsid w:val="25542EAC"/>
    <w:rsid w:val="25B4721B"/>
    <w:rsid w:val="27480BEC"/>
    <w:rsid w:val="28C059CB"/>
    <w:rsid w:val="29E027B0"/>
    <w:rsid w:val="2CCA6DCD"/>
    <w:rsid w:val="2DB22F27"/>
    <w:rsid w:val="2DFB6F36"/>
    <w:rsid w:val="2EBD3736"/>
    <w:rsid w:val="311F430F"/>
    <w:rsid w:val="316303DD"/>
    <w:rsid w:val="31E5469E"/>
    <w:rsid w:val="320672C1"/>
    <w:rsid w:val="32637123"/>
    <w:rsid w:val="32A46044"/>
    <w:rsid w:val="36591197"/>
    <w:rsid w:val="386604D2"/>
    <w:rsid w:val="3AC7169A"/>
    <w:rsid w:val="442A6AE5"/>
    <w:rsid w:val="468C669B"/>
    <w:rsid w:val="4B344E5E"/>
    <w:rsid w:val="4B403A0D"/>
    <w:rsid w:val="50776F31"/>
    <w:rsid w:val="52A10EC4"/>
    <w:rsid w:val="53441CC8"/>
    <w:rsid w:val="53641548"/>
    <w:rsid w:val="536B1271"/>
    <w:rsid w:val="56F96BE0"/>
    <w:rsid w:val="571116A2"/>
    <w:rsid w:val="573E5D70"/>
    <w:rsid w:val="57780092"/>
    <w:rsid w:val="59DB28C6"/>
    <w:rsid w:val="5CC02E10"/>
    <w:rsid w:val="5D71472C"/>
    <w:rsid w:val="5EF40098"/>
    <w:rsid w:val="626E67FE"/>
    <w:rsid w:val="645D4C10"/>
    <w:rsid w:val="64664F49"/>
    <w:rsid w:val="65144B0C"/>
    <w:rsid w:val="66473A4A"/>
    <w:rsid w:val="665556C1"/>
    <w:rsid w:val="6CE14764"/>
    <w:rsid w:val="730673DA"/>
    <w:rsid w:val="74840024"/>
    <w:rsid w:val="787E6755"/>
    <w:rsid w:val="791B5CCB"/>
    <w:rsid w:val="798A2BC3"/>
    <w:rsid w:val="7AF27853"/>
    <w:rsid w:val="7AF74471"/>
    <w:rsid w:val="7B5E27BC"/>
    <w:rsid w:val="7EB60D2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Body Text 2"/>
    <w:basedOn w:val="1"/>
    <w:qFormat/>
    <w:uiPriority w:val="0"/>
    <w:pPr>
      <w:spacing w:after="120" w:line="480" w:lineRule="auto"/>
    </w:pPr>
    <w:rPr>
      <w:sz w:val="20"/>
      <w:szCs w:val="20"/>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sz w:val="24"/>
      <w:szCs w:val="24"/>
    </w:rPr>
  </w:style>
  <w:style w:type="table" w:styleId="7">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basedOn w:val="1"/>
    <w:qFormat/>
    <w:uiPriority w:val="0"/>
  </w:style>
  <w:style w:type="paragraph" w:styleId="9">
    <w:name w:val="List Paragraph"/>
    <w:basedOn w:val="1"/>
    <w:link w:val="10"/>
    <w:qFormat/>
    <w:uiPriority w:val="34"/>
    <w:pPr>
      <w:ind w:left="720"/>
      <w:contextualSpacing/>
    </w:pPr>
  </w:style>
  <w:style w:type="character" w:customStyle="1" w:styleId="10">
    <w:name w:val="Абзац списка Знак"/>
    <w:link w:val="9"/>
    <w:qFormat/>
    <w:uiPriority w:val="34"/>
  </w:style>
  <w:style w:type="paragraph" w:customStyle="1" w:styleId="11">
    <w:name w:val="Standard"/>
    <w:qFormat/>
    <w:uiPriority w:val="0"/>
    <w:pPr>
      <w:suppressAutoHyphens/>
      <w:autoSpaceDN w:val="0"/>
      <w:textAlignment w:val="baseline"/>
    </w:pPr>
    <w:rPr>
      <w:rFonts w:ascii="Times New Roman" w:hAnsi="Times New Roman" w:eastAsia="Times New Roman" w:cs="Times New Roman"/>
      <w:kern w:val="3"/>
      <w:sz w:val="24"/>
      <w:szCs w:val="24"/>
      <w:lang w:val="ru-RU" w:eastAsia="zh-CN" w:bidi="ar-SA"/>
    </w:rPr>
  </w:style>
  <w:style w:type="paragraph" w:customStyle="1" w:styleId="12">
    <w:name w:val="Содержимое врезки"/>
    <w:basedOn w:val="1"/>
    <w:qFormat/>
    <w:uiPriority w:val="0"/>
  </w:style>
  <w:style w:type="paragraph" w:customStyle="1" w:styleId="13">
    <w:name w:val="Без інтервалів"/>
    <w:qFormat/>
    <w:uiPriority w:val="0"/>
    <w:rPr>
      <w:rFonts w:ascii="Calibri" w:hAnsi="Calibri" w:eastAsia="Times New Roman" w:cs="Times New Roman"/>
      <w:sz w:val="22"/>
      <w:szCs w:val="22"/>
      <w:lang w:val="ru-RU" w:eastAsia="ru-RU" w:bidi="ar-SA"/>
    </w:rPr>
  </w:style>
  <w:style w:type="paragraph" w:customStyle="1" w:styleId="14">
    <w:name w:val="Обычный1"/>
    <w:qFormat/>
    <w:uiPriority w:val="0"/>
    <w:rPr>
      <w:rFonts w:ascii="Times New Roman" w:hAnsi="Times New Roman" w:eastAsia="Times New Roman" w:cs="Times New Roman"/>
      <w:lang w:val="ru-RU" w:eastAsia="ru-RU" w:bidi="ar-SA"/>
    </w:rPr>
  </w:style>
  <w:style w:type="paragraph" w:customStyle="1" w:styleId="15">
    <w:name w:val="docdata"/>
    <w:basedOn w:val="1"/>
    <w:qFormat/>
    <w:uiPriority w:val="0"/>
    <w:pPr>
      <w:spacing w:before="100" w:beforeAutospacing="1" w:after="100" w:afterAutospacing="1" w:line="240" w:lineRule="auto"/>
    </w:pPr>
    <w:rPr>
      <w:rFonts w:ascii="Times New Roman" w:hAnsi="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16EE3-CF1B-44D7-ABF3-FEFBFD217A37}">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Pages>
  <Words>420</Words>
  <Characters>2400</Characters>
  <Lines>20</Lines>
  <Paragraphs>5</Paragraphs>
  <TotalTime>1</TotalTime>
  <ScaleCrop>false</ScaleCrop>
  <LinksUpToDate>false</LinksUpToDate>
  <CharactersWithSpaces>2815</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2022-11-30T09:20:00Z</dcterms:created>
  <dc:creator>Пользователь</dc:creator>
  <cp:lastModifiedBy>VNMR</cp:lastModifiedBy>
  <cp:lastPrinted>2023-04-17T11:11:00Z</cp:lastPrinted>
  <dcterms:modified xsi:type="dcterms:W3CDTF">2023-04-18T09:53:32Z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3BBD7BFE619B492499CA02A000AB79FD</vt:lpwstr>
  </property>
</Properties>
</file>