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344"/>
        <w:gridCol w:w="1146"/>
        <w:gridCol w:w="1110"/>
        <w:gridCol w:w="832"/>
        <w:gridCol w:w="935"/>
        <w:gridCol w:w="768"/>
        <w:gridCol w:w="832"/>
      </w:tblGrid>
      <w:tr w:rsidR="00FE74EE" w:rsidRPr="00FE74EE" w:rsidTr="00FE74EE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FE74EE" w:rsidRPr="00FE74EE" w:rsidTr="00FE74EE">
        <w:trPr>
          <w:trHeight w:val="40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1014030</w:t>
            </w:r>
          </w:p>
        </w:tc>
      </w:tr>
      <w:tr w:rsidR="00FE74EE" w:rsidRPr="00FE74EE" w:rsidTr="00FE74EE">
        <w:trPr>
          <w:trHeight w:val="885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287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32"/>
                <w:szCs w:val="32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color w:val="00B050"/>
                <w:sz w:val="32"/>
                <w:szCs w:val="32"/>
                <w:lang w:val="ru-RU" w:eastAsia="ru-RU"/>
              </w:rPr>
              <w:t>Забезпечення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color w:val="00B050"/>
                <w:sz w:val="32"/>
                <w:szCs w:val="32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color w:val="00B050"/>
                <w:sz w:val="32"/>
                <w:szCs w:val="32"/>
                <w:lang w:val="ru-RU" w:eastAsia="ru-RU"/>
              </w:rPr>
              <w:t>діяльності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color w:val="00B050"/>
                <w:sz w:val="32"/>
                <w:szCs w:val="32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color w:val="00B050"/>
                <w:sz w:val="32"/>
                <w:szCs w:val="32"/>
                <w:lang w:val="ru-RU" w:eastAsia="ru-RU"/>
              </w:rPr>
              <w:t>бібліотек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color w:val="00B050"/>
                <w:sz w:val="32"/>
                <w:szCs w:val="32"/>
                <w:lang w:val="ru-RU" w:eastAsia="ru-RU"/>
              </w:rPr>
              <w:t xml:space="preserve"> </w:t>
            </w:r>
          </w:p>
        </w:tc>
      </w:tr>
      <w:tr w:rsidR="00FE74EE" w:rsidRPr="00FE74EE" w:rsidTr="00FE74EE">
        <w:trPr>
          <w:trHeight w:val="1515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287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доступності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дівчат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жінок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хлопців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чоловіків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документів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інформації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створення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умов для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повного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задоволення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їх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духовних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потреб,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сприяння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їх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профосвітньому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розвитку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комплектування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зберігання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proofErr w:type="gram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контроль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бібліотечних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фондів</w:t>
            </w:r>
            <w:proofErr w:type="spellEnd"/>
          </w:p>
        </w:tc>
      </w:tr>
      <w:tr w:rsidR="00FE74EE" w:rsidRPr="00FE74EE" w:rsidTr="00FE74EE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FE74EE" w:rsidRPr="00FE74EE" w:rsidTr="00FE74EE">
        <w:trPr>
          <w:trHeight w:val="630"/>
        </w:trPr>
        <w:tc>
          <w:tcPr>
            <w:tcW w:w="21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4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Попередній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(2021 </w:t>
            </w:r>
            <w:proofErr w:type="spellStart"/>
            <w:proofErr w:type="gram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FE74EE" w:rsidRPr="00FE74EE" w:rsidTr="00FE74EE">
        <w:trPr>
          <w:trHeight w:val="255"/>
        </w:trPr>
        <w:tc>
          <w:tcPr>
            <w:tcW w:w="21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</w:tr>
      <w:tr w:rsidR="00FE74EE" w:rsidRPr="00FE74EE" w:rsidTr="00FE74EE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FE74EE" w:rsidRPr="00FE74EE" w:rsidTr="00FE74EE">
        <w:trPr>
          <w:trHeight w:val="3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Кількість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книговидач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одного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працівника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(ставку)     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9645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10197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1.057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10922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12234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1.120</w:t>
            </w:r>
          </w:p>
        </w:tc>
      </w:tr>
      <w:tr w:rsidR="00FE74EE" w:rsidRPr="00FE74EE" w:rsidTr="00FE74EE">
        <w:trPr>
          <w:trHeight w:val="6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Середні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затрати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обслуговування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одного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читача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FE74EE">
              <w:rPr>
                <w:rFonts w:ascii="Times New Roman" w:eastAsia="Times New Roman" w:hAnsi="Times New Roman" w:cs="Times New Roman"/>
                <w:color w:val="FF0000"/>
                <w:lang w:val="ru-RU" w:eastAsia="ru-RU"/>
              </w:rPr>
              <w:t>тис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color w:val="FF0000"/>
                <w:lang w:val="ru-RU" w:eastAsia="ru-RU"/>
              </w:rPr>
              <w:t>.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color w:val="FF0000"/>
                <w:lang w:val="ru-RU" w:eastAsia="ru-RU"/>
              </w:rPr>
              <w:t xml:space="preserve"> 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color w:val="FF0000"/>
                <w:lang w:val="ru-RU" w:eastAsia="ru-RU"/>
              </w:rPr>
              <w:t>г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color w:val="FF0000"/>
                <w:lang w:val="ru-RU" w:eastAsia="ru-RU"/>
              </w:rPr>
              <w:t>рн.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0.3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0.3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0.3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0.3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FE74EE" w:rsidRPr="00FE74EE" w:rsidTr="00FE74EE">
        <w:trPr>
          <w:trHeight w:val="6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Середні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витрати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придбання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одного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примірника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бібліотечного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фонду, </w:t>
            </w:r>
            <w:r w:rsidRPr="00FE74EE">
              <w:rPr>
                <w:rFonts w:ascii="Times New Roman" w:eastAsia="Times New Roman" w:hAnsi="Times New Roman" w:cs="Times New Roman"/>
                <w:color w:val="FF0000"/>
                <w:lang w:val="ru-RU" w:eastAsia="ru-RU"/>
              </w:rPr>
              <w:t>грн.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51.0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43.0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1.186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130.0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86.0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1.512</w:t>
            </w:r>
          </w:p>
        </w:tc>
      </w:tr>
      <w:tr w:rsidR="00FE74EE" w:rsidRPr="00FE74EE" w:rsidTr="00FE74EE">
        <w:trPr>
          <w:trHeight w:val="510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одиниці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предметів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довгострокового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користування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</w:t>
            </w:r>
            <w:r w:rsidRPr="00FE74E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грн.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488.3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489.0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0.999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0.0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0.0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0.000</w:t>
            </w:r>
          </w:p>
        </w:tc>
      </w:tr>
      <w:tr w:rsidR="00FE74EE" w:rsidRPr="00FE74EE" w:rsidTr="00FE74EE">
        <w:trPr>
          <w:trHeight w:val="300"/>
        </w:trPr>
        <w:tc>
          <w:tcPr>
            <w:tcW w:w="21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FE74EE" w:rsidRPr="00FE74EE" w:rsidTr="00FE74EE">
        <w:trPr>
          <w:trHeight w:val="975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Динаміка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поповнення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бібліотечного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фонду за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кількістю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примірників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плановому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відповідно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до фактичного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показника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9.0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14.0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1.556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7.0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11.0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1.571</w:t>
            </w:r>
          </w:p>
        </w:tc>
      </w:tr>
      <w:tr w:rsidR="00FE74EE" w:rsidRPr="00FE74EE" w:rsidTr="00FE74EE">
        <w:trPr>
          <w:trHeight w:val="90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Динаміка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збільшення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книговидач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 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плановому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відповідно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до фактичного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показника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175.0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177.0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1.011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112.0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112.0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FE74EE" w:rsidRPr="00FE74EE" w:rsidTr="00FE74EE">
        <w:trPr>
          <w:trHeight w:val="51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плану з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придбання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предметів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довгострокового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використання</w:t>
            </w:r>
            <w:proofErr w:type="spellEnd"/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99.0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99.0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0.0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0.0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</w:tr>
      <w:tr w:rsidR="00FE74EE" w:rsidRPr="00FE74EE" w:rsidTr="00FE74EE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FE74EE" w:rsidRPr="00FE74EE" w:rsidTr="00FE74EE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FE74EE" w:rsidRPr="00FE74EE" w:rsidTr="00FE74EE">
        <w:trPr>
          <w:trHeight w:val="990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FE74EE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= (1.120+1.000):2*100 =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106.0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не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3,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 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FE74EE" w:rsidRPr="00FE74EE" w:rsidTr="00FE74EE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FE74EE" w:rsidRPr="00FE74EE" w:rsidTr="00FE74EE">
        <w:trPr>
          <w:trHeight w:val="855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FE74EE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= (1.057+1.000+1.186+0.999):4*100 =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106.0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FE74EE" w:rsidRPr="00FE74EE" w:rsidTr="00FE74EE">
        <w:trPr>
          <w:trHeight w:val="375"/>
        </w:trPr>
        <w:tc>
          <w:tcPr>
            <w:tcW w:w="32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б)</w:t>
            </w: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FE74EE" w:rsidRPr="00FE74EE" w:rsidTr="00FE74EE">
        <w:trPr>
          <w:trHeight w:val="825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FE74EE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= (1,000):1*100 =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100.0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не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1,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 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FE74EE" w:rsidRPr="00FE74EE" w:rsidTr="00FE74EE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в)</w:t>
            </w: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FE74EE" w:rsidRPr="00FE74EE" w:rsidTr="00FE74EE">
        <w:trPr>
          <w:trHeight w:val="465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І</w:t>
            </w:r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=106.0/106.0 =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1.00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FE74EE" w:rsidRPr="00FE74EE" w:rsidTr="00FE74EE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набраних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параметром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періодів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</w:p>
        </w:tc>
      </w:tr>
      <w:tr w:rsidR="00FE74EE" w:rsidRPr="00FE74EE" w:rsidTr="00FE74EE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І1=1.00,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І1 ≥ 1, то за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нараховується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FE74EE" w:rsidRPr="00FE74EE" w:rsidTr="00FE74EE">
        <w:trPr>
          <w:trHeight w:val="360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25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балі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FE74EE" w:rsidRPr="00FE74EE" w:rsidTr="00FE74EE">
        <w:trPr>
          <w:trHeight w:val="300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FE74EE" w:rsidRPr="00FE74EE" w:rsidTr="00FE74EE">
        <w:trPr>
          <w:trHeight w:val="300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Визначення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FE74EE" w:rsidRPr="00FE74EE" w:rsidTr="00FE74EE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Кінцевий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FE74EE" w:rsidRPr="00FE74EE" w:rsidTr="00FE74EE">
        <w:trPr>
          <w:trHeight w:val="17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FE74EE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FE74EE" w:rsidRPr="00FE74EE" w:rsidTr="00FE74EE">
        <w:trPr>
          <w:trHeight w:val="300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Е =  І(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) +  І(як) + І1 =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231.0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FE74EE" w:rsidRPr="00FE74EE" w:rsidTr="00FE74EE">
        <w:trPr>
          <w:trHeight w:val="300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=106.0+100.0+25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FE74EE" w:rsidRPr="00FE74EE" w:rsidTr="00FE74EE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порівнянні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дана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програма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має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</w:p>
        </w:tc>
      </w:tr>
      <w:tr w:rsidR="00FE74EE" w:rsidRPr="00FE74EE" w:rsidTr="00FE74EE">
        <w:trPr>
          <w:trHeight w:val="285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високу</w:t>
            </w:r>
            <w:proofErr w:type="spellEnd"/>
          </w:p>
        </w:tc>
        <w:tc>
          <w:tcPr>
            <w:tcW w:w="10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ефективність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.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</w:tr>
    </w:tbl>
    <w:p w:rsidR="00363464" w:rsidRDefault="00363464"/>
    <w:p w:rsidR="00FE74EE" w:rsidRDefault="00FE74EE"/>
    <w:p w:rsidR="00FE74EE" w:rsidRDefault="00FE74EE"/>
    <w:p w:rsidR="00FE74EE" w:rsidRDefault="00FE74EE"/>
    <w:p w:rsidR="00FE74EE" w:rsidRDefault="00FE74EE"/>
    <w:p w:rsidR="00FE74EE" w:rsidRDefault="00FE74EE"/>
    <w:p w:rsidR="00FE74EE" w:rsidRDefault="00FE74EE"/>
    <w:p w:rsidR="00FE74EE" w:rsidRDefault="00FE74EE"/>
    <w:p w:rsidR="00FE74EE" w:rsidRDefault="00FE74EE"/>
    <w:p w:rsidR="00FE74EE" w:rsidRDefault="00FE74EE"/>
    <w:p w:rsidR="00FE74EE" w:rsidRDefault="00FE74EE"/>
    <w:p w:rsidR="00FE74EE" w:rsidRDefault="00FE74EE"/>
    <w:p w:rsidR="00FE74EE" w:rsidRDefault="00FE74EE"/>
    <w:p w:rsidR="00FE74EE" w:rsidRDefault="00FE74EE"/>
    <w:p w:rsidR="00FE74EE" w:rsidRDefault="00FE74EE"/>
    <w:p w:rsidR="00FE74EE" w:rsidRDefault="00FE74EE"/>
    <w:p w:rsidR="00FE74EE" w:rsidRDefault="00FE74EE"/>
    <w:p w:rsidR="00FE74EE" w:rsidRDefault="00FE74EE"/>
    <w:p w:rsidR="00FE74EE" w:rsidRDefault="00FE74EE"/>
    <w:tbl>
      <w:tblPr>
        <w:tblW w:w="5000" w:type="pct"/>
        <w:tblLook w:val="04A0" w:firstRow="1" w:lastRow="0" w:firstColumn="1" w:lastColumn="0" w:noHBand="0" w:noVBand="1"/>
      </w:tblPr>
      <w:tblGrid>
        <w:gridCol w:w="393"/>
        <w:gridCol w:w="1126"/>
        <w:gridCol w:w="4431"/>
        <w:gridCol w:w="1372"/>
        <w:gridCol w:w="1323"/>
        <w:gridCol w:w="1322"/>
      </w:tblGrid>
      <w:tr w:rsidR="00FE74EE" w:rsidRPr="00FE74EE" w:rsidTr="00FE74EE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0" w:name="_GoBack"/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Додаток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proofErr w:type="gramEnd"/>
          </w:p>
        </w:tc>
      </w:tr>
      <w:tr w:rsidR="00FE74EE" w:rsidRPr="00FE74EE" w:rsidTr="00FE74EE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FE74EE" w:rsidRPr="00FE74EE" w:rsidTr="00FE74EE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01.01.2023року</w:t>
            </w:r>
          </w:p>
        </w:tc>
      </w:tr>
      <w:tr w:rsidR="00FE74EE" w:rsidRPr="00FE74EE" w:rsidTr="00FE74EE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E74EE" w:rsidRPr="00FE74EE" w:rsidTr="00FE74EE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FE74EE" w:rsidRPr="00FE74EE" w:rsidTr="00FE74EE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E74EE" w:rsidRPr="00FE74EE" w:rsidTr="00FE74EE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FE74EE" w:rsidRPr="00FE74EE" w:rsidTr="00FE74EE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E74EE" w:rsidRPr="00FE74EE" w:rsidTr="00FE74EE">
        <w:trPr>
          <w:trHeight w:val="6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1014030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бібліотек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E74EE" w:rsidRPr="00FE74EE" w:rsidTr="00FE74EE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E74EE" w:rsidRPr="00FE74EE" w:rsidTr="00FE74EE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E74EE" w:rsidRPr="00FE74EE" w:rsidTr="00FE74EE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E74EE" w:rsidRPr="00FE74EE" w:rsidTr="00FE74EE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E74EE" w:rsidRPr="00FE74EE" w:rsidTr="00FE74EE">
        <w:trPr>
          <w:trHeight w:val="51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FE74EE" w:rsidRPr="00FE74EE" w:rsidTr="00FE74EE">
        <w:trPr>
          <w:trHeight w:val="51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FE74EE" w:rsidRPr="00FE74EE" w:rsidTr="00FE74EE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FE74EE" w:rsidRPr="00FE74EE" w:rsidTr="00FE74EE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FE74EE" w:rsidRPr="00FE74EE" w:rsidTr="00FE74EE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FE74EE" w:rsidRPr="00FE74EE" w:rsidTr="00FE74EE">
        <w:trPr>
          <w:trHeight w:val="18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доступності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для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дівчат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/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жінок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хлопців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/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чоловіків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документів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інформації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створення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умов для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повного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задоволення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їх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духовних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потреб,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сприяння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їх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профосвітньому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розвитку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комплектування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зберігання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proofErr w:type="gram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обл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контроль 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бібліотечних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фондів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231.0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FE74EE" w:rsidRPr="00FE74EE" w:rsidTr="00FE74EE">
        <w:trPr>
          <w:trHeight w:val="58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231.0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FE74EE" w:rsidRPr="00FE74EE" w:rsidTr="00FE74EE">
        <w:trPr>
          <w:trHeight w:val="22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0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FE74EE" w:rsidRPr="00FE74EE" w:rsidTr="00FE74EE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E74EE" w:rsidRPr="00FE74EE" w:rsidTr="00FE74EE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E74EE" w:rsidRPr="00FE74EE" w:rsidTr="00FE74EE">
        <w:trPr>
          <w:trHeight w:val="99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FE74EE" w:rsidRPr="00FE74EE" w:rsidTr="00FE74EE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FE74EE" w:rsidRPr="00FE74EE" w:rsidTr="00FE74EE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FE74EE" w:rsidRPr="00FE74EE" w:rsidTr="00FE74EE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FE74EE" w:rsidRPr="00FE74EE" w:rsidTr="00FE74EE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E74EE" w:rsidRPr="00FE74EE" w:rsidTr="00FE74EE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E74EE" w:rsidRPr="00FE74EE" w:rsidTr="00FE74EE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E74EE" w:rsidRPr="00FE74EE" w:rsidTr="00FE74EE">
        <w:trPr>
          <w:trHeight w:val="432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74EE" w:rsidRPr="00FE74EE" w:rsidRDefault="00FE74EE" w:rsidP="00F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FE74EE" w:rsidRPr="00FE74EE" w:rsidTr="00FE74EE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(</w:t>
            </w:r>
            <w:proofErr w:type="spellStart"/>
            <w:proofErr w:type="gramStart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ідпис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3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4EE" w:rsidRPr="00FE74EE" w:rsidRDefault="00FE74EE" w:rsidP="00FE7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  (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FE74EE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  <w:bookmarkEnd w:id="0"/>
    </w:tbl>
    <w:p w:rsidR="00FE74EE" w:rsidRDefault="00FE74EE"/>
    <w:sectPr w:rsidR="00FE74EE" w:rsidSect="00FE74EE">
      <w:pgSz w:w="11906" w:h="16838"/>
      <w:pgMar w:top="454" w:right="454" w:bottom="45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4EE"/>
    <w:rsid w:val="00363464"/>
    <w:rsid w:val="00FE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734</Words>
  <Characters>4185</Characters>
  <Application>Microsoft Office Word</Application>
  <DocSecurity>0</DocSecurity>
  <Lines>34</Lines>
  <Paragraphs>9</Paragraphs>
  <ScaleCrop>false</ScaleCrop>
  <Company/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2023-02-07T13:23:00Z</dcterms:created>
  <dcterms:modified xsi:type="dcterms:W3CDTF">2023-02-07T13:25:00Z</dcterms:modified>
</cp:coreProperties>
</file>