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25716" w14:textId="0166B85D" w:rsidR="003B2A14" w:rsidRPr="00C46AC5" w:rsidRDefault="009A0370" w:rsidP="00C46AC5">
      <w:pPr>
        <w:spacing w:line="240" w:lineRule="auto"/>
        <w:ind w:firstLine="851"/>
        <w:contextualSpacing/>
        <w:jc w:val="center"/>
        <w:rPr>
          <w:b/>
          <w:bCs/>
        </w:rPr>
      </w:pPr>
      <w:bookmarkStart w:id="0" w:name="_Hlk108086678"/>
      <w:r w:rsidRPr="00C46AC5">
        <w:rPr>
          <w:b/>
          <w:bCs/>
        </w:rPr>
        <w:t xml:space="preserve">Приклад інструкції щодо йодної профілактики для </w:t>
      </w:r>
      <w:r w:rsidR="007E5ED1" w:rsidRPr="00C46AC5">
        <w:rPr>
          <w:b/>
          <w:bCs/>
        </w:rPr>
        <w:t>населення</w:t>
      </w:r>
    </w:p>
    <w:bookmarkEnd w:id="0"/>
    <w:p w14:paraId="1D63A41C" w14:textId="129B8A96" w:rsidR="009A0370" w:rsidRPr="00C46AC5" w:rsidRDefault="009A0370" w:rsidP="00C46AC5">
      <w:pPr>
        <w:spacing w:line="240" w:lineRule="auto"/>
        <w:ind w:firstLine="851"/>
        <w:contextualSpacing/>
        <w:jc w:val="center"/>
        <w:rPr>
          <w:b/>
          <w:bCs/>
        </w:rPr>
      </w:pPr>
    </w:p>
    <w:p w14:paraId="6EB96108" w14:textId="4AEC0315" w:rsidR="00FC41BE" w:rsidRPr="00C46AC5" w:rsidRDefault="00FC41BE" w:rsidP="00C46AC5">
      <w:pPr>
        <w:spacing w:line="240" w:lineRule="auto"/>
        <w:ind w:firstLine="851"/>
        <w:contextualSpacing/>
        <w:jc w:val="both"/>
        <w:rPr>
          <w:b/>
          <w:bCs/>
        </w:rPr>
      </w:pPr>
      <w:r w:rsidRPr="00C46AC5">
        <w:rPr>
          <w:b/>
          <w:bCs/>
        </w:rPr>
        <w:t>Ключові пункти:</w:t>
      </w:r>
    </w:p>
    <w:p w14:paraId="4739FF9A" w14:textId="73183E66" w:rsidR="00FC41BE" w:rsidRPr="00C46AC5" w:rsidRDefault="00FC41BE" w:rsidP="00C46AC5">
      <w:pPr>
        <w:pStyle w:val="a3"/>
        <w:numPr>
          <w:ilvl w:val="0"/>
          <w:numId w:val="4"/>
        </w:numPr>
        <w:spacing w:line="240" w:lineRule="auto"/>
        <w:ind w:left="0" w:firstLine="851"/>
        <w:jc w:val="both"/>
      </w:pPr>
      <w:r w:rsidRPr="00C46AC5">
        <w:t xml:space="preserve">У разі радіаційної </w:t>
      </w:r>
      <w:r w:rsidR="00D67D1C" w:rsidRPr="00C46AC5">
        <w:t>аварії на АЕС</w:t>
      </w:r>
      <w:r w:rsidRPr="00C46AC5">
        <w:t xml:space="preserve"> окремі категорії населення </w:t>
      </w:r>
      <w:r w:rsidR="00456627" w:rsidRPr="00C46AC5">
        <w:t xml:space="preserve">після офіційного оповіщення від органів влади </w:t>
      </w:r>
      <w:r w:rsidRPr="00C46AC5">
        <w:t xml:space="preserve">можуть отримати </w:t>
      </w:r>
      <w:r w:rsidRPr="00C46AC5">
        <w:rPr>
          <w:b/>
          <w:bCs/>
        </w:rPr>
        <w:t xml:space="preserve">вказівку прийняти калію </w:t>
      </w:r>
      <w:r w:rsidR="00BB56B0" w:rsidRPr="00C46AC5">
        <w:rPr>
          <w:b/>
          <w:bCs/>
        </w:rPr>
        <w:t xml:space="preserve">йодид </w:t>
      </w:r>
      <w:r w:rsidRPr="00C46AC5">
        <w:rPr>
          <w:b/>
          <w:bCs/>
        </w:rPr>
        <w:t>(</w:t>
      </w:r>
      <w:r w:rsidR="005E515E" w:rsidRPr="00C46AC5">
        <w:rPr>
          <w:b/>
          <w:bCs/>
        </w:rPr>
        <w:t xml:space="preserve">далі – </w:t>
      </w:r>
      <w:r w:rsidRPr="00C46AC5">
        <w:rPr>
          <w:b/>
          <w:bCs/>
        </w:rPr>
        <w:t>KI)</w:t>
      </w:r>
      <w:r w:rsidRPr="00C46AC5">
        <w:t xml:space="preserve"> для захисту щито</w:t>
      </w:r>
      <w:r w:rsidR="002C3D46" w:rsidRPr="00C46AC5">
        <w:t>подібної</w:t>
      </w:r>
      <w:r w:rsidRPr="00C46AC5">
        <w:t xml:space="preserve"> залози.</w:t>
      </w:r>
    </w:p>
    <w:p w14:paraId="170F8F4A" w14:textId="06CF4A50" w:rsidR="00FC41BE" w:rsidRPr="00C46AC5" w:rsidRDefault="00FC41BE" w:rsidP="00C46AC5">
      <w:pPr>
        <w:pStyle w:val="a3"/>
        <w:numPr>
          <w:ilvl w:val="0"/>
          <w:numId w:val="4"/>
        </w:numPr>
        <w:spacing w:line="240" w:lineRule="auto"/>
        <w:ind w:left="0" w:firstLine="851"/>
        <w:jc w:val="both"/>
      </w:pPr>
      <w:r w:rsidRPr="00C46AC5">
        <w:rPr>
          <w:b/>
          <w:bCs/>
        </w:rPr>
        <w:t>Не приймайте KI, якщо для цього не було відповідно</w:t>
      </w:r>
      <w:r w:rsidR="00DB2EBD" w:rsidRPr="00C46AC5">
        <w:rPr>
          <w:b/>
          <w:bCs/>
        </w:rPr>
        <w:t>го сповіщення та/або</w:t>
      </w:r>
      <w:r w:rsidRPr="00C46AC5">
        <w:rPr>
          <w:b/>
          <w:bCs/>
        </w:rPr>
        <w:t xml:space="preserve"> вказівки</w:t>
      </w:r>
      <w:r w:rsidRPr="00C46AC5">
        <w:t xml:space="preserve"> від </w:t>
      </w:r>
      <w:r w:rsidR="00456627" w:rsidRPr="00C46AC5">
        <w:t>органів місцевої</w:t>
      </w:r>
      <w:r w:rsidRPr="00C46AC5">
        <w:t xml:space="preserve"> влади.</w:t>
      </w:r>
      <w:r w:rsidR="006C40A1" w:rsidRPr="00C46AC5">
        <w:t xml:space="preserve"> Якщо бул</w:t>
      </w:r>
      <w:r w:rsidR="00DB2EBD" w:rsidRPr="00C46AC5">
        <w:t>о сповіщення та/або</w:t>
      </w:r>
      <w:r w:rsidR="006C40A1" w:rsidRPr="00C46AC5">
        <w:t xml:space="preserve"> вказівка прийняти КІ, </w:t>
      </w:r>
      <w:r w:rsidR="006C40A1" w:rsidRPr="00C46AC5">
        <w:rPr>
          <w:b/>
          <w:bCs/>
        </w:rPr>
        <w:t>слід приймати лише препарати, затверджені до відповідного застосування</w:t>
      </w:r>
      <w:r w:rsidR="006C40A1" w:rsidRPr="00C46AC5">
        <w:t>.</w:t>
      </w:r>
    </w:p>
    <w:p w14:paraId="4AF8C347" w14:textId="2BADB565" w:rsidR="00FC41BE" w:rsidRPr="00C46AC5" w:rsidRDefault="00FC41BE" w:rsidP="00C46AC5">
      <w:pPr>
        <w:pStyle w:val="a3"/>
        <w:numPr>
          <w:ilvl w:val="0"/>
          <w:numId w:val="4"/>
        </w:numPr>
        <w:spacing w:line="240" w:lineRule="auto"/>
        <w:ind w:left="0" w:firstLine="851"/>
        <w:jc w:val="both"/>
      </w:pPr>
      <w:r w:rsidRPr="00C46AC5">
        <w:t>Існують обмеження щодо прий</w:t>
      </w:r>
      <w:r w:rsidR="00456627" w:rsidRPr="00C46AC5">
        <w:t>ому</w:t>
      </w:r>
      <w:r w:rsidRPr="00C46AC5">
        <w:t xml:space="preserve"> KI. </w:t>
      </w:r>
      <w:r w:rsidRPr="00C46AC5">
        <w:rPr>
          <w:b/>
          <w:bCs/>
        </w:rPr>
        <w:t>КІ захища</w:t>
      </w:r>
      <w:r w:rsidR="002303C1" w:rsidRPr="00C46AC5">
        <w:rPr>
          <w:b/>
          <w:bCs/>
        </w:rPr>
        <w:t>є</w:t>
      </w:r>
      <w:r w:rsidRPr="00C46AC5">
        <w:rPr>
          <w:b/>
          <w:bCs/>
        </w:rPr>
        <w:t xml:space="preserve"> лише щито</w:t>
      </w:r>
      <w:r w:rsidR="002C3D46" w:rsidRPr="00C46AC5">
        <w:rPr>
          <w:b/>
          <w:bCs/>
        </w:rPr>
        <w:t>подібну</w:t>
      </w:r>
      <w:r w:rsidRPr="00C46AC5">
        <w:rPr>
          <w:b/>
          <w:bCs/>
        </w:rPr>
        <w:t xml:space="preserve"> залозу від радіоактивного йоду</w:t>
      </w:r>
      <w:r w:rsidRPr="00C46AC5">
        <w:t xml:space="preserve"> </w:t>
      </w:r>
      <w:r w:rsidR="002C3D46" w:rsidRPr="00C46AC5">
        <w:t>та</w:t>
      </w:r>
      <w:r w:rsidRPr="00C46AC5">
        <w:t xml:space="preserve"> не захища</w:t>
      </w:r>
      <w:r w:rsidR="002303C1" w:rsidRPr="00C46AC5">
        <w:t>є</w:t>
      </w:r>
      <w:r w:rsidRPr="00C46AC5">
        <w:t xml:space="preserve"> інші частини тіла від інших </w:t>
      </w:r>
      <w:r w:rsidR="008F5FC1" w:rsidRPr="00C46AC5">
        <w:t>джерел</w:t>
      </w:r>
      <w:r w:rsidRPr="00C46AC5">
        <w:t xml:space="preserve"> </w:t>
      </w:r>
      <w:r w:rsidR="00456627" w:rsidRPr="00C46AC5">
        <w:t>іонізуючого випромінювання</w:t>
      </w:r>
      <w:r w:rsidRPr="00C46AC5">
        <w:t>.</w:t>
      </w:r>
    </w:p>
    <w:p w14:paraId="446859E1" w14:textId="15BF581F" w:rsidR="00FC41BE" w:rsidRPr="00C46AC5" w:rsidRDefault="00FC41BE" w:rsidP="00C46AC5">
      <w:pPr>
        <w:pStyle w:val="a3"/>
        <w:numPr>
          <w:ilvl w:val="0"/>
          <w:numId w:val="4"/>
        </w:numPr>
        <w:spacing w:line="240" w:lineRule="auto"/>
        <w:ind w:left="0" w:firstLine="851"/>
        <w:jc w:val="both"/>
      </w:pPr>
      <w:bookmarkStart w:id="1" w:name="_Hlk109931122"/>
      <w:r w:rsidRPr="00C46AC5">
        <w:t>KI</w:t>
      </w:r>
      <w:bookmarkEnd w:id="1"/>
      <w:r w:rsidRPr="00C46AC5">
        <w:t xml:space="preserve"> рекомендований </w:t>
      </w:r>
      <w:r w:rsidRPr="00C46AC5">
        <w:rPr>
          <w:b/>
          <w:bCs/>
        </w:rPr>
        <w:t xml:space="preserve">лише людям до 40 років, </w:t>
      </w:r>
      <w:r w:rsidR="00DB2EBD" w:rsidRPr="00C46AC5">
        <w:rPr>
          <w:b/>
          <w:bCs/>
        </w:rPr>
        <w:t xml:space="preserve">дітям, </w:t>
      </w:r>
      <w:r w:rsidRPr="00C46AC5">
        <w:rPr>
          <w:b/>
          <w:bCs/>
        </w:rPr>
        <w:t xml:space="preserve">вагітним </w:t>
      </w:r>
      <w:r w:rsidR="002C3D46" w:rsidRPr="00C46AC5">
        <w:rPr>
          <w:b/>
          <w:bCs/>
        </w:rPr>
        <w:t xml:space="preserve">та тим, хто годує </w:t>
      </w:r>
      <w:r w:rsidRPr="00C46AC5">
        <w:rPr>
          <w:b/>
          <w:bCs/>
        </w:rPr>
        <w:t>груддю</w:t>
      </w:r>
      <w:r w:rsidRPr="00C46AC5">
        <w:t>. Доз</w:t>
      </w:r>
      <w:r w:rsidR="002C3D46" w:rsidRPr="00C46AC5">
        <w:t xml:space="preserve">ування </w:t>
      </w:r>
      <w:r w:rsidRPr="00C46AC5">
        <w:t>залеж</w:t>
      </w:r>
      <w:r w:rsidR="002C3D46" w:rsidRPr="00C46AC5">
        <w:t>и</w:t>
      </w:r>
      <w:r w:rsidRPr="00C46AC5">
        <w:t>ть від віку.</w:t>
      </w:r>
    </w:p>
    <w:p w14:paraId="68A45FA5" w14:textId="42AF16DC" w:rsidR="00DB2EBD" w:rsidRPr="00C46AC5" w:rsidRDefault="00DB2EBD" w:rsidP="00C46AC5">
      <w:pPr>
        <w:pStyle w:val="a3"/>
        <w:numPr>
          <w:ilvl w:val="0"/>
          <w:numId w:val="4"/>
        </w:numPr>
        <w:spacing w:line="240" w:lineRule="auto"/>
        <w:ind w:left="0" w:firstLine="851"/>
        <w:jc w:val="both"/>
      </w:pPr>
      <w:r w:rsidRPr="00C46AC5">
        <w:t>KI приймають лише одноразово.</w:t>
      </w:r>
    </w:p>
    <w:p w14:paraId="742049BF" w14:textId="546BEA8B" w:rsidR="009A0370" w:rsidRPr="00C46AC5" w:rsidRDefault="00FC41BE" w:rsidP="00C46AC5">
      <w:pPr>
        <w:pStyle w:val="a3"/>
        <w:numPr>
          <w:ilvl w:val="0"/>
          <w:numId w:val="4"/>
        </w:numPr>
        <w:spacing w:line="240" w:lineRule="auto"/>
        <w:ind w:left="0" w:firstLine="851"/>
        <w:jc w:val="both"/>
      </w:pPr>
      <w:r w:rsidRPr="00C46AC5">
        <w:rPr>
          <w:b/>
          <w:bCs/>
        </w:rPr>
        <w:t>KI може мати шкідливий вплив на здоров’я</w:t>
      </w:r>
      <w:r w:rsidRPr="00C46AC5">
        <w:t xml:space="preserve">, особливо якщо </w:t>
      </w:r>
      <w:r w:rsidR="008F5FC1" w:rsidRPr="00C46AC5">
        <w:t xml:space="preserve">приймати його </w:t>
      </w:r>
      <w:r w:rsidR="00456627" w:rsidRPr="00C46AC5">
        <w:t xml:space="preserve">багаторазово, </w:t>
      </w:r>
      <w:r w:rsidR="008F5FC1" w:rsidRPr="00C46AC5">
        <w:t>без</w:t>
      </w:r>
      <w:r w:rsidR="002C3D46" w:rsidRPr="00C46AC5">
        <w:t xml:space="preserve"> потреби </w:t>
      </w:r>
      <w:r w:rsidRPr="00C46AC5">
        <w:t xml:space="preserve">або </w:t>
      </w:r>
      <w:r w:rsidR="002C3D46" w:rsidRPr="00C46AC5">
        <w:rPr>
          <w:b/>
          <w:bCs/>
        </w:rPr>
        <w:t xml:space="preserve">якщо його приймають </w:t>
      </w:r>
      <w:r w:rsidRPr="00C46AC5">
        <w:rPr>
          <w:b/>
          <w:bCs/>
        </w:rPr>
        <w:t>неправильно</w:t>
      </w:r>
      <w:r w:rsidRPr="00C46AC5">
        <w:t xml:space="preserve">. </w:t>
      </w:r>
    </w:p>
    <w:p w14:paraId="1FD1635A" w14:textId="3974F0FB" w:rsidR="002C3D46" w:rsidRPr="00C46AC5" w:rsidRDefault="002C3D46" w:rsidP="00C46AC5">
      <w:pPr>
        <w:spacing w:line="240" w:lineRule="auto"/>
        <w:ind w:firstLine="851"/>
        <w:contextualSpacing/>
        <w:jc w:val="both"/>
      </w:pPr>
    </w:p>
    <w:p w14:paraId="564D9C28" w14:textId="2D6D1223" w:rsidR="002C3D46" w:rsidRPr="00C46AC5" w:rsidRDefault="002C3D46" w:rsidP="00C46AC5">
      <w:pPr>
        <w:spacing w:line="240" w:lineRule="auto"/>
        <w:ind w:firstLine="851"/>
        <w:contextualSpacing/>
        <w:jc w:val="both"/>
        <w:rPr>
          <w:b/>
          <w:bCs/>
        </w:rPr>
      </w:pPr>
      <w:r w:rsidRPr="00C46AC5">
        <w:rPr>
          <w:b/>
          <w:bCs/>
        </w:rPr>
        <w:t>Як калій йодид захищає щитоподібну залозу</w:t>
      </w:r>
    </w:p>
    <w:p w14:paraId="2D374FE3" w14:textId="1549E1AE" w:rsidR="00456627" w:rsidRPr="00C46AC5" w:rsidRDefault="00456627" w:rsidP="00C46AC5">
      <w:pPr>
        <w:spacing w:line="240" w:lineRule="auto"/>
        <w:ind w:firstLine="851"/>
        <w:contextualSpacing/>
        <w:jc w:val="both"/>
      </w:pPr>
      <w:r w:rsidRPr="00C46AC5">
        <w:t xml:space="preserve">При радіаційній аварії на ядерних установках може відбуватись викид радіоактивних речовин у навколишнє природне середовище та, у тому числі, значних кількостей </w:t>
      </w:r>
      <w:r w:rsidRPr="00C46AC5">
        <w:t>радіоактивних ізотопів йоду</w:t>
      </w:r>
      <w:r w:rsidRPr="00C46AC5">
        <w:t>.</w:t>
      </w:r>
    </w:p>
    <w:p w14:paraId="05EC909A" w14:textId="12586763" w:rsidR="002E0162" w:rsidRPr="00C46AC5" w:rsidRDefault="00456627" w:rsidP="00C46AC5">
      <w:pPr>
        <w:spacing w:line="240" w:lineRule="auto"/>
        <w:ind w:firstLine="851"/>
        <w:contextualSpacing/>
        <w:jc w:val="both"/>
      </w:pPr>
      <w:r w:rsidRPr="00C46AC5">
        <w:t xml:space="preserve">При виділенні, в результаті аварії на ядерній установці, </w:t>
      </w:r>
      <w:bookmarkStart w:id="2" w:name="_Hlk109941072"/>
      <w:r w:rsidRPr="00C46AC5">
        <w:t>радіоактивних ізотопів йоду</w:t>
      </w:r>
      <w:bookmarkEnd w:id="2"/>
      <w:r w:rsidRPr="00C46AC5">
        <w:t xml:space="preserve"> та потраплянні в організм людини, щитоподібна залоза поглинає його і зазнає опромінення. Якщо препарат КІ вводиться в організм до початку або під час надходження радіоактивного йоду - відбувається блокування надходження радіоактивних ізотопів йоду, що зменшує або відвертає радіаційне опромінення щитоподібної залози та знижує ризик негативних наслідків для здоров’я людини. Препарати КІ не захищають організм від біологічної дії інших радіонуклідів, що можуть міститись у складі радіаційного викиду.</w:t>
      </w:r>
    </w:p>
    <w:p w14:paraId="25C4AEAA" w14:textId="77777777" w:rsidR="00456627" w:rsidRPr="00C46AC5" w:rsidRDefault="00456627" w:rsidP="00C46AC5">
      <w:pPr>
        <w:spacing w:line="240" w:lineRule="auto"/>
        <w:ind w:firstLine="851"/>
        <w:contextualSpacing/>
        <w:jc w:val="both"/>
      </w:pPr>
    </w:p>
    <w:p w14:paraId="046873C3" w14:textId="74EBE567" w:rsidR="002E0162" w:rsidRPr="00C46AC5" w:rsidRDefault="002E0162" w:rsidP="00C46AC5">
      <w:pPr>
        <w:spacing w:line="240" w:lineRule="auto"/>
        <w:ind w:firstLine="851"/>
        <w:contextualSpacing/>
        <w:jc w:val="both"/>
        <w:rPr>
          <w:b/>
          <w:bCs/>
        </w:rPr>
      </w:pPr>
      <w:r w:rsidRPr="00C46AC5">
        <w:rPr>
          <w:b/>
          <w:bCs/>
        </w:rPr>
        <w:t>Приймайте</w:t>
      </w:r>
      <w:r w:rsidR="006178A1" w:rsidRPr="00C46AC5">
        <w:rPr>
          <w:b/>
          <w:bCs/>
        </w:rPr>
        <w:t xml:space="preserve"> ЛИШЕ</w:t>
      </w:r>
      <w:r w:rsidRPr="00C46AC5">
        <w:rPr>
          <w:b/>
          <w:bCs/>
        </w:rPr>
        <w:t xml:space="preserve"> калій йодид</w:t>
      </w:r>
      <w:r w:rsidR="006178A1" w:rsidRPr="00C46AC5">
        <w:rPr>
          <w:b/>
          <w:bCs/>
        </w:rPr>
        <w:t xml:space="preserve"> та</w:t>
      </w:r>
      <w:r w:rsidRPr="00C46AC5">
        <w:rPr>
          <w:b/>
          <w:bCs/>
        </w:rPr>
        <w:t xml:space="preserve"> ЛИШЕ якщо ви </w:t>
      </w:r>
      <w:r w:rsidR="001749B3" w:rsidRPr="00C46AC5">
        <w:rPr>
          <w:b/>
          <w:bCs/>
        </w:rPr>
        <w:t xml:space="preserve">почули офіційне оповіщення та </w:t>
      </w:r>
      <w:r w:rsidRPr="00C46AC5">
        <w:rPr>
          <w:b/>
          <w:bCs/>
        </w:rPr>
        <w:t>отримали відповідну вказівку</w:t>
      </w:r>
    </w:p>
    <w:p w14:paraId="1E96EA4B" w14:textId="72D0CCB1" w:rsidR="002E0162" w:rsidRPr="00C46AC5" w:rsidRDefault="001A4D12" w:rsidP="00C46AC5">
      <w:pPr>
        <w:spacing w:line="240" w:lineRule="auto"/>
        <w:ind w:firstLine="851"/>
        <w:contextualSpacing/>
        <w:jc w:val="both"/>
      </w:pPr>
      <w:r w:rsidRPr="00C46AC5">
        <w:t>Багаторазовий</w:t>
      </w:r>
      <w:r w:rsidR="002E0162" w:rsidRPr="00C46AC5">
        <w:t xml:space="preserve"> прий</w:t>
      </w:r>
      <w:r w:rsidRPr="00C46AC5">
        <w:t>ом</w:t>
      </w:r>
      <w:r w:rsidR="002E0162" w:rsidRPr="00C46AC5">
        <w:t xml:space="preserve"> </w:t>
      </w:r>
      <w:r w:rsidR="00BE5937" w:rsidRPr="00C46AC5">
        <w:t>КІ</w:t>
      </w:r>
      <w:r w:rsidR="002E0162" w:rsidRPr="00C46AC5">
        <w:t xml:space="preserve"> може </w:t>
      </w:r>
      <w:r w:rsidR="00396920" w:rsidRPr="00C46AC5">
        <w:t>призвести до</w:t>
      </w:r>
      <w:r w:rsidR="002E0162" w:rsidRPr="00C46AC5">
        <w:t xml:space="preserve"> передозування йодом та побічних наслідків для здоров’я.</w:t>
      </w:r>
      <w:r w:rsidR="002303C1" w:rsidRPr="00C46AC5">
        <w:t xml:space="preserve"> </w:t>
      </w:r>
      <w:r w:rsidR="002E0162" w:rsidRPr="00C46AC5">
        <w:t xml:space="preserve">Приймайте лише ті препарати, які ви отримали від </w:t>
      </w:r>
      <w:r w:rsidRPr="00C46AC5">
        <w:t xml:space="preserve">державних органів </w:t>
      </w:r>
      <w:r w:rsidR="002E0162" w:rsidRPr="00C46AC5">
        <w:t>місцевої влади. Дієтичні добавки, йодована сіль, нанесення йодної сітки на шкіру спиртовим розчином йоду</w:t>
      </w:r>
      <w:r w:rsidR="00434770" w:rsidRPr="00C46AC5">
        <w:t xml:space="preserve"> тощо</w:t>
      </w:r>
      <w:r w:rsidR="002E0162" w:rsidRPr="00C46AC5">
        <w:t xml:space="preserve"> не надають достатнього захисту</w:t>
      </w:r>
      <w:r w:rsidR="00434770" w:rsidRPr="00C46AC5">
        <w:t xml:space="preserve"> та не захистять вашу щитоподібну залозу.</w:t>
      </w:r>
    </w:p>
    <w:p w14:paraId="4CD8BFA7" w14:textId="323D3B7E" w:rsidR="00434770" w:rsidRPr="00C46AC5" w:rsidRDefault="00434770" w:rsidP="00C46AC5">
      <w:pPr>
        <w:spacing w:line="240" w:lineRule="auto"/>
        <w:ind w:firstLine="851"/>
        <w:contextualSpacing/>
        <w:jc w:val="both"/>
        <w:rPr>
          <w:b/>
          <w:bCs/>
        </w:rPr>
      </w:pPr>
    </w:p>
    <w:p w14:paraId="722011BC" w14:textId="63BCCE35" w:rsidR="00434770" w:rsidRPr="00C46AC5" w:rsidRDefault="001A4D12" w:rsidP="00C46AC5">
      <w:pPr>
        <w:spacing w:line="240" w:lineRule="auto"/>
        <w:ind w:firstLine="851"/>
        <w:contextualSpacing/>
        <w:jc w:val="both"/>
        <w:rPr>
          <w:b/>
          <w:bCs/>
        </w:rPr>
      </w:pPr>
      <w:r w:rsidRPr="00C46AC5">
        <w:rPr>
          <w:b/>
          <w:bCs/>
        </w:rPr>
        <w:t>Йодна профілактика</w:t>
      </w:r>
    </w:p>
    <w:p w14:paraId="1E18FF4D" w14:textId="5D3B11A0" w:rsidR="001A4D12" w:rsidRPr="00C46AC5" w:rsidRDefault="001A4D12" w:rsidP="00C46AC5">
      <w:pPr>
        <w:spacing w:line="240" w:lineRule="auto"/>
        <w:ind w:firstLine="851"/>
        <w:contextualSpacing/>
        <w:jc w:val="both"/>
      </w:pPr>
      <w:r w:rsidRPr="00C46AC5">
        <w:t xml:space="preserve">Йодна профілактика (йодне блокування щитоподібної залози) - невідкладний захисний захід запобігання або зменшення поглинання </w:t>
      </w:r>
      <w:r w:rsidR="00C46AC5" w:rsidRPr="00C46AC5">
        <w:t xml:space="preserve">радіоактивних ізотопів йоду </w:t>
      </w:r>
      <w:r w:rsidRPr="00C46AC5">
        <w:t xml:space="preserve">щитоподібною залозою, за допомогою </w:t>
      </w:r>
      <w:r w:rsidR="00C46AC5" w:rsidRPr="00C46AC5">
        <w:t>КІ</w:t>
      </w:r>
      <w:r w:rsidRPr="00C46AC5">
        <w:t xml:space="preserve">, що </w:t>
      </w:r>
      <w:r w:rsidRPr="00C46AC5">
        <w:lastRenderedPageBreak/>
        <w:t>спрямований, насамперед, на захист щитоподібної залози. Й</w:t>
      </w:r>
      <w:r w:rsidR="00C46AC5" w:rsidRPr="00C46AC5">
        <w:t>одна профілактика</w:t>
      </w:r>
      <w:r w:rsidRPr="00C46AC5">
        <w:t xml:space="preserve"> належить до термінових (невідкладних) заходів, спрямованих на запобігання негативного впливу ранньої фази радіаційної аварії.</w:t>
      </w:r>
    </w:p>
    <w:p w14:paraId="5F4F721B" w14:textId="0592B16F" w:rsidR="006178A1" w:rsidRPr="00C46AC5" w:rsidRDefault="001A4D12" w:rsidP="00C46AC5">
      <w:pPr>
        <w:spacing w:line="240" w:lineRule="auto"/>
        <w:ind w:firstLine="851"/>
        <w:contextualSpacing/>
        <w:jc w:val="both"/>
      </w:pPr>
      <w:r w:rsidRPr="00C46AC5">
        <w:t xml:space="preserve">Ризик радіаційного ураження щитоподібної залози може бути знижений або навіть відвернутий при своєчасному призначенні </w:t>
      </w:r>
      <w:r w:rsidR="00C46AC5" w:rsidRPr="00C46AC5">
        <w:t>йодної профілактики</w:t>
      </w:r>
      <w:r w:rsidRPr="00C46AC5">
        <w:t xml:space="preserve"> як такої або в комплексі з іншими заходами радіаційного захисту: обмеження перебування на відкритому повітрі, укриття, евакуація, радіаційний контроль харчових продуктів, у тому числі води питної, тощо.</w:t>
      </w:r>
    </w:p>
    <w:p w14:paraId="67ADB1C9" w14:textId="6B00B1D7" w:rsidR="00C46AC5" w:rsidRPr="00C46AC5" w:rsidRDefault="00C46AC5" w:rsidP="00C46AC5">
      <w:pPr>
        <w:spacing w:line="240" w:lineRule="auto"/>
        <w:ind w:firstLine="851"/>
        <w:contextualSpacing/>
        <w:jc w:val="both"/>
      </w:pPr>
      <w:r w:rsidRPr="00C46AC5">
        <w:t>Оптимальний ефект йодної профілактики досягається при завчасному (превентивному) прийомі препарату за 6 і менше годин до надходження радіоактивного йоду. Прийом препарату одночасно з надходженням «хмари» залишається ефективним та через 6 годин після інгаляційного надходження приводить до 2-х кратного зниження дози, а через 24 години - практичній відсутності захисного ефекту.</w:t>
      </w:r>
    </w:p>
    <w:p w14:paraId="3A236C1D" w14:textId="77777777" w:rsidR="001A4D12" w:rsidRPr="00C46AC5" w:rsidRDefault="001A4D12" w:rsidP="00C46AC5">
      <w:pPr>
        <w:spacing w:line="240" w:lineRule="auto"/>
        <w:ind w:firstLine="851"/>
        <w:contextualSpacing/>
        <w:jc w:val="both"/>
      </w:pPr>
    </w:p>
    <w:p w14:paraId="1EB7CE10" w14:textId="5F8B7EF7" w:rsidR="00DD1808" w:rsidRPr="00C46AC5" w:rsidRDefault="00DD1808" w:rsidP="00C46AC5">
      <w:pPr>
        <w:spacing w:line="240" w:lineRule="auto"/>
        <w:ind w:firstLine="851"/>
        <w:contextualSpacing/>
        <w:jc w:val="both"/>
        <w:rPr>
          <w:b/>
          <w:bCs/>
        </w:rPr>
      </w:pPr>
      <w:r w:rsidRPr="00C46AC5">
        <w:rPr>
          <w:b/>
          <w:bCs/>
        </w:rPr>
        <w:t xml:space="preserve">Як приймати </w:t>
      </w:r>
      <w:r w:rsidR="00BE5937" w:rsidRPr="00C46AC5">
        <w:rPr>
          <w:b/>
          <w:bCs/>
        </w:rPr>
        <w:t>калію</w:t>
      </w:r>
      <w:r w:rsidR="00C46AC5" w:rsidRPr="00C46AC5">
        <w:rPr>
          <w:b/>
          <w:bCs/>
        </w:rPr>
        <w:t xml:space="preserve"> </w:t>
      </w:r>
      <w:r w:rsidR="00C46AC5" w:rsidRPr="00C46AC5">
        <w:rPr>
          <w:b/>
          <w:bCs/>
        </w:rPr>
        <w:t>йодид</w:t>
      </w:r>
    </w:p>
    <w:p w14:paraId="62AC73F7" w14:textId="18138C37" w:rsidR="002C3D46" w:rsidRPr="00C46AC5" w:rsidRDefault="002B3C7C" w:rsidP="00C46AC5">
      <w:pPr>
        <w:spacing w:line="240" w:lineRule="auto"/>
        <w:ind w:firstLine="851"/>
        <w:contextualSpacing/>
        <w:jc w:val="both"/>
      </w:pPr>
      <w:r w:rsidRPr="00C46AC5">
        <w:t>Для людей віком більш ніж 40 років радіоактивний йод не несе настільки ж високий ризик розвитку раку щитопо</w:t>
      </w:r>
      <w:r w:rsidR="00A25AB0" w:rsidRPr="00C46AC5">
        <w:t>д</w:t>
      </w:r>
      <w:r w:rsidRPr="00C46AC5">
        <w:t>і</w:t>
      </w:r>
      <w:r w:rsidR="00A25AB0" w:rsidRPr="00C46AC5">
        <w:t>б</w:t>
      </w:r>
      <w:r w:rsidRPr="00C46AC5">
        <w:t>ної залози, як для інших категорій населення</w:t>
      </w:r>
      <w:r w:rsidR="00273C7F" w:rsidRPr="00C46AC5">
        <w:t>.</w:t>
      </w:r>
      <w:r w:rsidR="00DD1808" w:rsidRPr="00C46AC5">
        <w:t xml:space="preserve"> </w:t>
      </w:r>
      <w:r w:rsidR="00273C7F" w:rsidRPr="00C46AC5">
        <w:t xml:space="preserve">В зв’язку з цим </w:t>
      </w:r>
      <w:r w:rsidR="00DD1808" w:rsidRPr="00C46AC5">
        <w:t xml:space="preserve">для </w:t>
      </w:r>
      <w:r w:rsidR="008F5FC1" w:rsidRPr="00C46AC5">
        <w:t>осіб</w:t>
      </w:r>
      <w:r w:rsidR="00B0047E" w:rsidRPr="00C46AC5">
        <w:t xml:space="preserve"> віком понад 40 років</w:t>
      </w:r>
      <w:r w:rsidR="00DD1808" w:rsidRPr="00C46AC5">
        <w:t xml:space="preserve"> </w:t>
      </w:r>
      <w:r w:rsidR="00A25AB0" w:rsidRPr="00C46AC5">
        <w:t>приймання КІ</w:t>
      </w:r>
      <w:r w:rsidR="00DD1808" w:rsidRPr="00C46AC5">
        <w:t xml:space="preserve"> не </w:t>
      </w:r>
      <w:r w:rsidR="00C46AC5" w:rsidRPr="00C46AC5">
        <w:t>рекомендоване</w:t>
      </w:r>
      <w:r w:rsidR="00DD1808" w:rsidRPr="00C46AC5">
        <w:t>.</w:t>
      </w:r>
    </w:p>
    <w:p w14:paraId="6065C0D1" w14:textId="69E1294F" w:rsidR="00C46AC5" w:rsidRPr="00C46AC5" w:rsidRDefault="00C46AC5" w:rsidP="00C46AC5">
      <w:pPr>
        <w:spacing w:line="240" w:lineRule="auto"/>
        <w:ind w:firstLine="851"/>
        <w:contextualSpacing/>
        <w:jc w:val="both"/>
      </w:pPr>
      <w:r w:rsidRPr="00C46AC5">
        <w:t xml:space="preserve">Однократне дозування для дорослої людини КІ становить 125 мг (100 мг йоду). У разі виникнення радіаційної аварії на об’єктах, призначених для поводження з радіоактивними та ядерними матеріалами, та загрози забруднення довкілля </w:t>
      </w:r>
      <w:r w:rsidRPr="00C46AC5">
        <w:t>радіоактивний йодом</w:t>
      </w:r>
      <w:r w:rsidRPr="00C46AC5">
        <w:t xml:space="preserve"> персонал повинен прийняти негайно 125 мг КІ.</w:t>
      </w:r>
    </w:p>
    <w:p w14:paraId="40F6C896" w14:textId="5BC7AD5A" w:rsidR="00C46AC5" w:rsidRPr="00C46AC5" w:rsidRDefault="00C46AC5" w:rsidP="00C46AC5">
      <w:pPr>
        <w:spacing w:line="240" w:lineRule="auto"/>
        <w:ind w:firstLine="851"/>
        <w:contextualSpacing/>
        <w:jc w:val="both"/>
      </w:pPr>
      <w:r w:rsidRPr="00C46AC5">
        <w:t xml:space="preserve">Населення, яке проживає на території де є загроза забруднення, приймає профілактичну дозу препарату КІ тільки після офіційного оповіщення про загрозу викиду та необхідність проведення </w:t>
      </w:r>
      <w:r w:rsidRPr="00C46AC5">
        <w:t>йодної профілактики</w:t>
      </w:r>
      <w:r w:rsidRPr="00C46AC5">
        <w:t>.</w:t>
      </w:r>
    </w:p>
    <w:p w14:paraId="16523CA6" w14:textId="2FE6C371" w:rsidR="00C46AC5" w:rsidRPr="00C46AC5" w:rsidRDefault="00C46AC5" w:rsidP="00C46AC5">
      <w:pPr>
        <w:spacing w:line="240" w:lineRule="auto"/>
        <w:ind w:firstLine="851"/>
        <w:contextualSpacing/>
        <w:jc w:val="both"/>
      </w:pPr>
      <w:r w:rsidRPr="00C46AC5">
        <w:t xml:space="preserve">Достатньо одноразового прийому препаратів КІ. Однак, за умови довготривалого чи повторного негативного впливу, </w:t>
      </w:r>
      <w:proofErr w:type="spellStart"/>
      <w:r w:rsidRPr="00C46AC5">
        <w:t>неуникненого</w:t>
      </w:r>
      <w:proofErr w:type="spellEnd"/>
      <w:r w:rsidRPr="00C46AC5">
        <w:t xml:space="preserve"> споживання забруднених харчових продуктів і води питної, можливий повторний прийом препаратів стабільного йоду здійснюється лише після офіційних оповіщень</w:t>
      </w:r>
    </w:p>
    <w:p w14:paraId="0C4A77B8" w14:textId="34EAED7C" w:rsidR="00DD1808" w:rsidRPr="00C46AC5" w:rsidRDefault="00DD1808" w:rsidP="00C46AC5">
      <w:pPr>
        <w:spacing w:line="240" w:lineRule="auto"/>
        <w:ind w:firstLine="851"/>
        <w:contextualSpacing/>
        <w:jc w:val="both"/>
      </w:pPr>
      <w:r w:rsidRPr="00C46AC5">
        <w:t>Рекомендоване дозування для різних категорій населення наведене в таблиці нижче.</w:t>
      </w:r>
    </w:p>
    <w:p w14:paraId="5BBE9B99" w14:textId="1C3DD7FB" w:rsidR="00DD1808" w:rsidRPr="00C46AC5" w:rsidRDefault="00DD1808" w:rsidP="00C46AC5">
      <w:pPr>
        <w:shd w:val="clear" w:color="auto" w:fill="FFFFFF"/>
        <w:spacing w:before="150" w:after="150" w:line="240" w:lineRule="auto"/>
        <w:ind w:firstLine="851"/>
        <w:contextualSpacing/>
        <w:jc w:val="center"/>
        <w:rPr>
          <w:rFonts w:eastAsia="Times New Roman"/>
          <w:color w:val="333333"/>
          <w:lang w:eastAsia="uk-UA"/>
        </w:rPr>
      </w:pPr>
      <w:r w:rsidRPr="00C46AC5">
        <w:rPr>
          <w:rFonts w:eastAsia="Times New Roman"/>
          <w:b/>
          <w:bCs/>
          <w:color w:val="333333"/>
          <w:lang w:eastAsia="uk-UA"/>
        </w:rPr>
        <w:t>Дозування одноразового прий</w:t>
      </w:r>
      <w:r w:rsidR="006178A1" w:rsidRPr="00C46AC5">
        <w:rPr>
          <w:rFonts w:eastAsia="Times New Roman"/>
          <w:b/>
          <w:bCs/>
          <w:color w:val="333333"/>
          <w:lang w:eastAsia="uk-UA"/>
        </w:rPr>
        <w:t>мання</w:t>
      </w:r>
      <w:r w:rsidRPr="00C46AC5">
        <w:rPr>
          <w:rFonts w:eastAsia="Times New Roman"/>
          <w:b/>
          <w:bCs/>
          <w:color w:val="333333"/>
          <w:lang w:eastAsia="uk-UA"/>
        </w:rPr>
        <w:t xml:space="preserve"> КІ* дорослим і дітям</w:t>
      </w:r>
      <w:r w:rsidRPr="00C46AC5">
        <w:rPr>
          <w:rFonts w:eastAsia="Times New Roman"/>
          <w:color w:val="333333"/>
          <w:lang w:eastAsia="uk-UA"/>
        </w:rPr>
        <w:br/>
      </w:r>
      <w:r w:rsidRPr="00C46AC5">
        <w:rPr>
          <w:rFonts w:eastAsia="Times New Roman"/>
          <w:b/>
          <w:bCs/>
          <w:color w:val="333333"/>
          <w:lang w:eastAsia="uk-UA"/>
        </w:rPr>
        <w:t>для захисту щитоподібної залози</w:t>
      </w:r>
    </w:p>
    <w:tbl>
      <w:tblPr>
        <w:tblW w:w="4931"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5"/>
        <w:gridCol w:w="2261"/>
        <w:gridCol w:w="3731"/>
        <w:gridCol w:w="3483"/>
      </w:tblGrid>
      <w:tr w:rsidR="00DD1808" w:rsidRPr="00C46AC5" w14:paraId="730E57FD" w14:textId="77777777" w:rsidTr="00BE5937">
        <w:trPr>
          <w:gridBefore w:val="1"/>
          <w:wBefore w:w="8" w:type="dxa"/>
          <w:trHeight w:val="293"/>
        </w:trPr>
        <w:tc>
          <w:tcPr>
            <w:tcW w:w="5654" w:type="dxa"/>
            <w:gridSpan w:val="2"/>
            <w:tcBorders>
              <w:top w:val="single" w:sz="6" w:space="0" w:color="000000"/>
              <w:left w:val="single" w:sz="6" w:space="0" w:color="000000"/>
              <w:bottom w:val="single" w:sz="6" w:space="0" w:color="000000"/>
              <w:right w:val="single" w:sz="6" w:space="0" w:color="000000"/>
            </w:tcBorders>
            <w:hideMark/>
          </w:tcPr>
          <w:p w14:paraId="3A6423E9" w14:textId="654FBCA4" w:rsidR="00DD1808" w:rsidRPr="00C46AC5" w:rsidRDefault="00DD1808" w:rsidP="00C46AC5">
            <w:pPr>
              <w:spacing w:after="0" w:line="240" w:lineRule="auto"/>
              <w:contextualSpacing/>
              <w:jc w:val="center"/>
              <w:rPr>
                <w:rFonts w:eastAsia="Times New Roman"/>
                <w:b/>
                <w:bCs/>
                <w:lang w:eastAsia="uk-UA"/>
              </w:rPr>
            </w:pPr>
            <w:bookmarkStart w:id="3" w:name="n56"/>
            <w:bookmarkEnd w:id="3"/>
            <w:r w:rsidRPr="00C46AC5">
              <w:rPr>
                <w:rFonts w:eastAsia="Times New Roman"/>
                <w:b/>
                <w:bCs/>
                <w:lang w:eastAsia="uk-UA"/>
              </w:rPr>
              <w:t>Група населення, вік</w:t>
            </w:r>
          </w:p>
        </w:tc>
        <w:tc>
          <w:tcPr>
            <w:tcW w:w="3828" w:type="dxa"/>
            <w:tcBorders>
              <w:top w:val="single" w:sz="6" w:space="0" w:color="000000"/>
              <w:left w:val="single" w:sz="6" w:space="0" w:color="000000"/>
              <w:bottom w:val="single" w:sz="6" w:space="0" w:color="000000"/>
              <w:right w:val="single" w:sz="6" w:space="0" w:color="000000"/>
            </w:tcBorders>
            <w:hideMark/>
          </w:tcPr>
          <w:p w14:paraId="2EC267A1" w14:textId="1448084C" w:rsidR="00DD1808" w:rsidRPr="00C46AC5" w:rsidRDefault="00DD1808" w:rsidP="00C46AC5">
            <w:pPr>
              <w:spacing w:after="0" w:line="240" w:lineRule="auto"/>
              <w:contextualSpacing/>
              <w:jc w:val="center"/>
              <w:rPr>
                <w:rFonts w:eastAsia="Times New Roman"/>
                <w:b/>
                <w:bCs/>
                <w:lang w:eastAsia="uk-UA"/>
              </w:rPr>
            </w:pPr>
            <w:r w:rsidRPr="00C46AC5">
              <w:rPr>
                <w:rFonts w:eastAsia="Times New Roman"/>
                <w:b/>
                <w:bCs/>
                <w:lang w:eastAsia="uk-UA"/>
              </w:rPr>
              <w:t>Дозування*</w:t>
            </w:r>
            <w:r w:rsidR="00BE5937" w:rsidRPr="00C46AC5">
              <w:rPr>
                <w:rFonts w:eastAsia="Times New Roman"/>
                <w:b/>
                <w:bCs/>
                <w:lang w:eastAsia="uk-UA"/>
              </w:rPr>
              <w:t xml:space="preserve">, </w:t>
            </w:r>
            <w:r w:rsidRPr="00C46AC5">
              <w:rPr>
                <w:rFonts w:eastAsia="Times New Roman"/>
                <w:b/>
                <w:bCs/>
                <w:lang w:eastAsia="uk-UA"/>
              </w:rPr>
              <w:t>мілігра</w:t>
            </w:r>
            <w:r w:rsidR="007C4415" w:rsidRPr="00C46AC5">
              <w:rPr>
                <w:rFonts w:eastAsia="Times New Roman"/>
                <w:b/>
                <w:bCs/>
                <w:lang w:eastAsia="uk-UA"/>
              </w:rPr>
              <w:t>м</w:t>
            </w:r>
          </w:p>
        </w:tc>
      </w:tr>
      <w:tr w:rsidR="00DD1808" w:rsidRPr="00C46AC5" w14:paraId="7DCB1225" w14:textId="77777777" w:rsidTr="00BE5937">
        <w:trPr>
          <w:gridBefore w:val="1"/>
          <w:wBefore w:w="8" w:type="dxa"/>
          <w:trHeight w:val="48"/>
        </w:trPr>
        <w:tc>
          <w:tcPr>
            <w:tcW w:w="5654" w:type="dxa"/>
            <w:gridSpan w:val="2"/>
            <w:tcBorders>
              <w:top w:val="single" w:sz="6" w:space="0" w:color="000000"/>
              <w:left w:val="single" w:sz="6" w:space="0" w:color="000000"/>
              <w:bottom w:val="single" w:sz="6" w:space="0" w:color="000000"/>
              <w:right w:val="single" w:sz="6" w:space="0" w:color="000000"/>
            </w:tcBorders>
            <w:hideMark/>
          </w:tcPr>
          <w:p w14:paraId="08527036" w14:textId="77777777" w:rsidR="00DD1808" w:rsidRPr="00C46AC5" w:rsidRDefault="00DD1808" w:rsidP="00C46AC5">
            <w:pPr>
              <w:spacing w:after="0" w:line="240" w:lineRule="auto"/>
              <w:contextualSpacing/>
              <w:rPr>
                <w:rFonts w:eastAsia="Times New Roman"/>
                <w:lang w:eastAsia="uk-UA"/>
              </w:rPr>
            </w:pPr>
            <w:r w:rsidRPr="00C46AC5">
              <w:rPr>
                <w:rFonts w:eastAsia="Times New Roman"/>
                <w:lang w:eastAsia="uk-UA"/>
              </w:rPr>
              <w:t>Немовлята (від народження до 1 місяця)</w:t>
            </w:r>
          </w:p>
        </w:tc>
        <w:tc>
          <w:tcPr>
            <w:tcW w:w="3828" w:type="dxa"/>
            <w:tcBorders>
              <w:top w:val="single" w:sz="6" w:space="0" w:color="000000"/>
              <w:left w:val="single" w:sz="6" w:space="0" w:color="000000"/>
              <w:bottom w:val="single" w:sz="6" w:space="0" w:color="000000"/>
              <w:right w:val="single" w:sz="6" w:space="0" w:color="000000"/>
            </w:tcBorders>
            <w:hideMark/>
          </w:tcPr>
          <w:p w14:paraId="5DA77F4A" w14:textId="77777777" w:rsidR="00DD1808" w:rsidRPr="00C46AC5" w:rsidRDefault="00DD1808" w:rsidP="00C46AC5">
            <w:pPr>
              <w:spacing w:after="0" w:line="240" w:lineRule="auto"/>
              <w:ind w:left="129"/>
              <w:contextualSpacing/>
              <w:jc w:val="center"/>
              <w:rPr>
                <w:rFonts w:eastAsia="Times New Roman"/>
                <w:lang w:eastAsia="uk-UA"/>
              </w:rPr>
            </w:pPr>
            <w:r w:rsidRPr="00C46AC5">
              <w:rPr>
                <w:rFonts w:eastAsia="Times New Roman"/>
                <w:lang w:eastAsia="uk-UA"/>
              </w:rPr>
              <w:t>~16</w:t>
            </w:r>
          </w:p>
        </w:tc>
      </w:tr>
      <w:tr w:rsidR="00DD1808" w:rsidRPr="00C46AC5" w14:paraId="1AC871E7" w14:textId="77777777" w:rsidTr="00BE5937">
        <w:trPr>
          <w:gridBefore w:val="1"/>
          <w:wBefore w:w="8" w:type="dxa"/>
          <w:trHeight w:val="48"/>
        </w:trPr>
        <w:tc>
          <w:tcPr>
            <w:tcW w:w="5654" w:type="dxa"/>
            <w:gridSpan w:val="2"/>
            <w:tcBorders>
              <w:top w:val="single" w:sz="6" w:space="0" w:color="000000"/>
              <w:left w:val="single" w:sz="6" w:space="0" w:color="000000"/>
              <w:bottom w:val="single" w:sz="6" w:space="0" w:color="000000"/>
              <w:right w:val="single" w:sz="6" w:space="0" w:color="000000"/>
            </w:tcBorders>
            <w:hideMark/>
          </w:tcPr>
          <w:p w14:paraId="72841498" w14:textId="77777777" w:rsidR="00DD1808" w:rsidRPr="00C46AC5" w:rsidRDefault="00DD1808" w:rsidP="00C46AC5">
            <w:pPr>
              <w:spacing w:after="0" w:line="240" w:lineRule="auto"/>
              <w:contextualSpacing/>
              <w:rPr>
                <w:rFonts w:eastAsia="Times New Roman"/>
                <w:lang w:eastAsia="uk-UA"/>
              </w:rPr>
            </w:pPr>
            <w:r w:rsidRPr="00C46AC5">
              <w:rPr>
                <w:rFonts w:eastAsia="Times New Roman"/>
                <w:lang w:eastAsia="uk-UA"/>
              </w:rPr>
              <w:t>Діти від 1 місяця до 3 років</w:t>
            </w:r>
          </w:p>
        </w:tc>
        <w:tc>
          <w:tcPr>
            <w:tcW w:w="3828" w:type="dxa"/>
            <w:tcBorders>
              <w:top w:val="single" w:sz="6" w:space="0" w:color="000000"/>
              <w:left w:val="single" w:sz="6" w:space="0" w:color="000000"/>
              <w:bottom w:val="single" w:sz="6" w:space="0" w:color="000000"/>
              <w:right w:val="single" w:sz="6" w:space="0" w:color="000000"/>
            </w:tcBorders>
            <w:hideMark/>
          </w:tcPr>
          <w:p w14:paraId="5016EE80" w14:textId="77777777" w:rsidR="00DD1808" w:rsidRPr="00C46AC5" w:rsidRDefault="00DD1808" w:rsidP="00C46AC5">
            <w:pPr>
              <w:spacing w:after="0" w:line="240" w:lineRule="auto"/>
              <w:contextualSpacing/>
              <w:jc w:val="center"/>
              <w:rPr>
                <w:rFonts w:eastAsia="Times New Roman"/>
                <w:lang w:eastAsia="uk-UA"/>
              </w:rPr>
            </w:pPr>
            <w:r w:rsidRPr="00C46AC5">
              <w:rPr>
                <w:rFonts w:eastAsia="Times New Roman"/>
                <w:lang w:eastAsia="uk-UA"/>
              </w:rPr>
              <w:t>~32</w:t>
            </w:r>
          </w:p>
        </w:tc>
      </w:tr>
      <w:tr w:rsidR="00DD1808" w:rsidRPr="00C46AC5" w14:paraId="1104A9A5" w14:textId="77777777" w:rsidTr="00BE5937">
        <w:trPr>
          <w:gridBefore w:val="1"/>
          <w:wBefore w:w="8" w:type="dxa"/>
          <w:trHeight w:val="48"/>
        </w:trPr>
        <w:tc>
          <w:tcPr>
            <w:tcW w:w="5654" w:type="dxa"/>
            <w:gridSpan w:val="2"/>
            <w:tcBorders>
              <w:top w:val="single" w:sz="6" w:space="0" w:color="000000"/>
              <w:left w:val="single" w:sz="6" w:space="0" w:color="000000"/>
              <w:bottom w:val="single" w:sz="6" w:space="0" w:color="000000"/>
              <w:right w:val="single" w:sz="6" w:space="0" w:color="000000"/>
            </w:tcBorders>
            <w:hideMark/>
          </w:tcPr>
          <w:p w14:paraId="16C676C0" w14:textId="77777777" w:rsidR="00DD1808" w:rsidRPr="00C46AC5" w:rsidRDefault="00DD1808" w:rsidP="00C46AC5">
            <w:pPr>
              <w:spacing w:after="0" w:line="240" w:lineRule="auto"/>
              <w:contextualSpacing/>
              <w:rPr>
                <w:rFonts w:eastAsia="Times New Roman"/>
                <w:lang w:eastAsia="uk-UA"/>
              </w:rPr>
            </w:pPr>
            <w:r w:rsidRPr="00C46AC5">
              <w:rPr>
                <w:rFonts w:eastAsia="Times New Roman"/>
                <w:lang w:eastAsia="uk-UA"/>
              </w:rPr>
              <w:t>Діти 3-12 років</w:t>
            </w:r>
          </w:p>
        </w:tc>
        <w:tc>
          <w:tcPr>
            <w:tcW w:w="3828" w:type="dxa"/>
            <w:tcBorders>
              <w:top w:val="single" w:sz="6" w:space="0" w:color="000000"/>
              <w:left w:val="single" w:sz="6" w:space="0" w:color="000000"/>
              <w:bottom w:val="single" w:sz="6" w:space="0" w:color="000000"/>
              <w:right w:val="single" w:sz="6" w:space="0" w:color="000000"/>
            </w:tcBorders>
            <w:hideMark/>
          </w:tcPr>
          <w:p w14:paraId="56C65055" w14:textId="77777777" w:rsidR="00DD1808" w:rsidRPr="00C46AC5" w:rsidRDefault="00DD1808" w:rsidP="00C46AC5">
            <w:pPr>
              <w:spacing w:after="0" w:line="240" w:lineRule="auto"/>
              <w:contextualSpacing/>
              <w:jc w:val="center"/>
              <w:rPr>
                <w:rFonts w:eastAsia="Times New Roman"/>
                <w:lang w:eastAsia="uk-UA"/>
              </w:rPr>
            </w:pPr>
            <w:r w:rsidRPr="00C46AC5">
              <w:rPr>
                <w:rFonts w:eastAsia="Times New Roman"/>
                <w:lang w:eastAsia="uk-UA"/>
              </w:rPr>
              <w:t>62,5</w:t>
            </w:r>
          </w:p>
        </w:tc>
      </w:tr>
      <w:tr w:rsidR="00DD1808" w:rsidRPr="00C46AC5" w14:paraId="57CC751A" w14:textId="77777777" w:rsidTr="00BE5937">
        <w:trPr>
          <w:gridBefore w:val="1"/>
          <w:wBefore w:w="8" w:type="dxa"/>
          <w:trHeight w:val="48"/>
        </w:trPr>
        <w:tc>
          <w:tcPr>
            <w:tcW w:w="5654" w:type="dxa"/>
            <w:gridSpan w:val="2"/>
            <w:tcBorders>
              <w:top w:val="single" w:sz="6" w:space="0" w:color="000000"/>
              <w:left w:val="single" w:sz="6" w:space="0" w:color="000000"/>
              <w:bottom w:val="single" w:sz="6" w:space="0" w:color="000000"/>
              <w:right w:val="single" w:sz="6" w:space="0" w:color="000000"/>
            </w:tcBorders>
            <w:hideMark/>
          </w:tcPr>
          <w:p w14:paraId="7AECCD78" w14:textId="77777777" w:rsidR="00DD1808" w:rsidRPr="00C46AC5" w:rsidRDefault="00DD1808" w:rsidP="00C46AC5">
            <w:pPr>
              <w:spacing w:after="0" w:line="240" w:lineRule="auto"/>
              <w:contextualSpacing/>
              <w:rPr>
                <w:rFonts w:eastAsia="Times New Roman"/>
                <w:lang w:eastAsia="uk-UA"/>
              </w:rPr>
            </w:pPr>
            <w:r w:rsidRPr="00C46AC5">
              <w:rPr>
                <w:rFonts w:eastAsia="Times New Roman"/>
                <w:lang w:eastAsia="uk-UA"/>
              </w:rPr>
              <w:t>Діти старше 12 років та дорослі до 40 років</w:t>
            </w:r>
          </w:p>
        </w:tc>
        <w:tc>
          <w:tcPr>
            <w:tcW w:w="3828" w:type="dxa"/>
            <w:tcBorders>
              <w:top w:val="single" w:sz="6" w:space="0" w:color="000000"/>
              <w:left w:val="single" w:sz="6" w:space="0" w:color="000000"/>
              <w:bottom w:val="single" w:sz="6" w:space="0" w:color="000000"/>
              <w:right w:val="single" w:sz="6" w:space="0" w:color="000000"/>
            </w:tcBorders>
            <w:hideMark/>
          </w:tcPr>
          <w:p w14:paraId="69936D14" w14:textId="77777777" w:rsidR="00DD1808" w:rsidRPr="00C46AC5" w:rsidRDefault="00DD1808" w:rsidP="00C46AC5">
            <w:pPr>
              <w:spacing w:after="0" w:line="240" w:lineRule="auto"/>
              <w:contextualSpacing/>
              <w:jc w:val="center"/>
              <w:rPr>
                <w:rFonts w:eastAsia="Times New Roman"/>
                <w:lang w:eastAsia="uk-UA"/>
              </w:rPr>
            </w:pPr>
            <w:r w:rsidRPr="00C46AC5">
              <w:rPr>
                <w:rFonts w:eastAsia="Times New Roman"/>
                <w:lang w:eastAsia="uk-UA"/>
              </w:rPr>
              <w:t>125</w:t>
            </w:r>
          </w:p>
        </w:tc>
      </w:tr>
      <w:tr w:rsidR="00DD1808" w:rsidRPr="00C46AC5" w14:paraId="1A7E163E" w14:textId="77777777" w:rsidTr="00BE5937">
        <w:trPr>
          <w:gridBefore w:val="1"/>
          <w:wBefore w:w="8" w:type="dxa"/>
          <w:trHeight w:val="48"/>
        </w:trPr>
        <w:tc>
          <w:tcPr>
            <w:tcW w:w="5654" w:type="dxa"/>
            <w:gridSpan w:val="2"/>
            <w:tcBorders>
              <w:top w:val="single" w:sz="6" w:space="0" w:color="000000"/>
              <w:left w:val="single" w:sz="6" w:space="0" w:color="000000"/>
              <w:bottom w:val="single" w:sz="6" w:space="0" w:color="000000"/>
              <w:right w:val="single" w:sz="6" w:space="0" w:color="000000"/>
            </w:tcBorders>
            <w:hideMark/>
          </w:tcPr>
          <w:p w14:paraId="59B5424E" w14:textId="46A626C2" w:rsidR="00DD1808" w:rsidRPr="00C46AC5" w:rsidRDefault="00DD1808" w:rsidP="00C46AC5">
            <w:pPr>
              <w:spacing w:after="0" w:line="240" w:lineRule="auto"/>
              <w:contextualSpacing/>
              <w:rPr>
                <w:rFonts w:eastAsia="Times New Roman"/>
                <w:lang w:eastAsia="uk-UA"/>
              </w:rPr>
            </w:pPr>
            <w:r w:rsidRPr="00C46AC5">
              <w:rPr>
                <w:rFonts w:eastAsia="Times New Roman"/>
                <w:lang w:eastAsia="uk-UA"/>
              </w:rPr>
              <w:t>Вагітні</w:t>
            </w:r>
          </w:p>
        </w:tc>
        <w:tc>
          <w:tcPr>
            <w:tcW w:w="3828" w:type="dxa"/>
            <w:tcBorders>
              <w:top w:val="single" w:sz="6" w:space="0" w:color="000000"/>
              <w:left w:val="single" w:sz="6" w:space="0" w:color="000000"/>
              <w:bottom w:val="single" w:sz="6" w:space="0" w:color="000000"/>
              <w:right w:val="single" w:sz="6" w:space="0" w:color="000000"/>
            </w:tcBorders>
            <w:hideMark/>
          </w:tcPr>
          <w:p w14:paraId="19BD9EB4" w14:textId="77777777" w:rsidR="00DD1808" w:rsidRPr="00C46AC5" w:rsidRDefault="00DD1808" w:rsidP="00C46AC5">
            <w:pPr>
              <w:spacing w:after="0" w:line="240" w:lineRule="auto"/>
              <w:contextualSpacing/>
              <w:jc w:val="center"/>
              <w:rPr>
                <w:rFonts w:eastAsia="Times New Roman"/>
                <w:lang w:eastAsia="uk-UA"/>
              </w:rPr>
            </w:pPr>
            <w:r w:rsidRPr="00C46AC5">
              <w:rPr>
                <w:rFonts w:eastAsia="Times New Roman"/>
                <w:lang w:eastAsia="uk-UA"/>
              </w:rPr>
              <w:t>125</w:t>
            </w:r>
          </w:p>
        </w:tc>
      </w:tr>
      <w:tr w:rsidR="00DD1808" w:rsidRPr="00C46AC5" w14:paraId="62C52335" w14:textId="77777777" w:rsidTr="00DD1808">
        <w:tc>
          <w:tcPr>
            <w:tcW w:w="1426" w:type="dxa"/>
            <w:gridSpan w:val="2"/>
            <w:tcBorders>
              <w:top w:val="nil"/>
              <w:left w:val="nil"/>
              <w:bottom w:val="nil"/>
              <w:right w:val="nil"/>
            </w:tcBorders>
            <w:hideMark/>
          </w:tcPr>
          <w:p w14:paraId="7227FA7F" w14:textId="595228BF" w:rsidR="00DD1808" w:rsidRPr="00C46AC5" w:rsidRDefault="00DD1808" w:rsidP="00C46AC5">
            <w:pPr>
              <w:spacing w:after="0" w:line="240" w:lineRule="auto"/>
              <w:ind w:firstLine="851"/>
              <w:contextualSpacing/>
              <w:rPr>
                <w:rFonts w:eastAsia="Times New Roman"/>
                <w:lang w:eastAsia="uk-UA"/>
              </w:rPr>
            </w:pPr>
            <w:bookmarkStart w:id="4" w:name="n57"/>
            <w:bookmarkEnd w:id="4"/>
            <w:r w:rsidRPr="00C46AC5">
              <w:rPr>
                <w:rFonts w:eastAsia="Times New Roman"/>
                <w:lang w:eastAsia="uk-UA"/>
              </w:rPr>
              <w:t>__________</w:t>
            </w:r>
            <w:r w:rsidRPr="00C46AC5">
              <w:rPr>
                <w:rFonts w:eastAsia="Times New Roman"/>
                <w:lang w:eastAsia="uk-UA"/>
              </w:rPr>
              <w:br/>
              <w:t>Примітк</w:t>
            </w:r>
            <w:r w:rsidR="00BE5937" w:rsidRPr="00C46AC5">
              <w:rPr>
                <w:rFonts w:eastAsia="Times New Roman"/>
                <w:lang w:eastAsia="uk-UA"/>
              </w:rPr>
              <w:t>а</w:t>
            </w:r>
            <w:r w:rsidRPr="00C46AC5">
              <w:rPr>
                <w:rFonts w:eastAsia="Times New Roman"/>
                <w:lang w:eastAsia="uk-UA"/>
              </w:rPr>
              <w:t>:</w:t>
            </w:r>
          </w:p>
        </w:tc>
        <w:tc>
          <w:tcPr>
            <w:tcW w:w="8064" w:type="dxa"/>
            <w:gridSpan w:val="2"/>
            <w:tcBorders>
              <w:top w:val="nil"/>
              <w:left w:val="nil"/>
              <w:bottom w:val="nil"/>
              <w:right w:val="nil"/>
            </w:tcBorders>
            <w:hideMark/>
          </w:tcPr>
          <w:p w14:paraId="02C1E043" w14:textId="52DF122A" w:rsidR="00DD1808" w:rsidRPr="00C46AC5" w:rsidRDefault="00DD1808" w:rsidP="00C46AC5">
            <w:pPr>
              <w:spacing w:after="0" w:line="240" w:lineRule="auto"/>
              <w:contextualSpacing/>
              <w:rPr>
                <w:rFonts w:eastAsia="Times New Roman"/>
                <w:lang w:eastAsia="uk-UA"/>
              </w:rPr>
            </w:pPr>
            <w:r w:rsidRPr="00C46AC5">
              <w:rPr>
                <w:rFonts w:eastAsia="Times New Roman"/>
                <w:lang w:eastAsia="uk-UA"/>
              </w:rPr>
              <w:br/>
              <w:t xml:space="preserve">* </w:t>
            </w:r>
            <w:r w:rsidR="007C4415" w:rsidRPr="00C46AC5">
              <w:rPr>
                <w:rFonts w:eastAsia="Times New Roman"/>
                <w:lang w:eastAsia="uk-UA"/>
              </w:rPr>
              <w:t xml:space="preserve">Препарати </w:t>
            </w:r>
            <w:r w:rsidRPr="00C46AC5">
              <w:rPr>
                <w:rFonts w:eastAsia="Times New Roman"/>
                <w:lang w:eastAsia="uk-UA"/>
              </w:rPr>
              <w:t>КІ прийма</w:t>
            </w:r>
            <w:r w:rsidR="007C4415" w:rsidRPr="00C46AC5">
              <w:rPr>
                <w:rFonts w:eastAsia="Times New Roman"/>
                <w:lang w:eastAsia="uk-UA"/>
              </w:rPr>
              <w:t>ють</w:t>
            </w:r>
            <w:r w:rsidRPr="00C46AC5">
              <w:rPr>
                <w:rFonts w:eastAsia="Times New Roman"/>
                <w:lang w:eastAsia="uk-UA"/>
              </w:rPr>
              <w:t xml:space="preserve"> після ї</w:t>
            </w:r>
            <w:r w:rsidR="007C4415" w:rsidRPr="00C46AC5">
              <w:rPr>
                <w:rFonts w:eastAsia="Times New Roman"/>
                <w:lang w:eastAsia="uk-UA"/>
              </w:rPr>
              <w:t>ди</w:t>
            </w:r>
            <w:r w:rsidRPr="00C46AC5">
              <w:rPr>
                <w:rFonts w:eastAsia="Times New Roman"/>
                <w:lang w:eastAsia="uk-UA"/>
              </w:rPr>
              <w:t>.</w:t>
            </w:r>
            <w:r w:rsidR="00BE5937" w:rsidRPr="00C46AC5">
              <w:rPr>
                <w:rFonts w:eastAsia="Times New Roman"/>
                <w:lang w:eastAsia="uk-UA"/>
              </w:rPr>
              <w:t xml:space="preserve"> </w:t>
            </w:r>
            <w:r w:rsidRPr="00C46AC5">
              <w:rPr>
                <w:rFonts w:eastAsia="Times New Roman"/>
                <w:lang w:eastAsia="uk-UA"/>
              </w:rPr>
              <w:t>Для отримання необхідн</w:t>
            </w:r>
            <w:r w:rsidR="006178A1" w:rsidRPr="00C46AC5">
              <w:rPr>
                <w:rFonts w:eastAsia="Times New Roman"/>
                <w:lang w:eastAsia="uk-UA"/>
              </w:rPr>
              <w:t xml:space="preserve">ого дозування </w:t>
            </w:r>
            <w:r w:rsidRPr="00C46AC5">
              <w:rPr>
                <w:rFonts w:eastAsia="Times New Roman"/>
                <w:lang w:eastAsia="uk-UA"/>
              </w:rPr>
              <w:t xml:space="preserve">лікарські засоби, що на сьогодні </w:t>
            </w:r>
            <w:r w:rsidRPr="00C46AC5">
              <w:rPr>
                <w:rFonts w:eastAsia="Times New Roman"/>
                <w:lang w:eastAsia="uk-UA"/>
              </w:rPr>
              <w:lastRenderedPageBreak/>
              <w:t>зареєстровані в Україні мають бути застосовані відповідно інструкції виробника.</w:t>
            </w:r>
          </w:p>
        </w:tc>
      </w:tr>
    </w:tbl>
    <w:p w14:paraId="63CF5519" w14:textId="77777777" w:rsidR="00BB56B0" w:rsidRPr="00C46AC5" w:rsidRDefault="00BB56B0" w:rsidP="00C46AC5">
      <w:pPr>
        <w:spacing w:before="240" w:line="240" w:lineRule="auto"/>
        <w:ind w:firstLine="851"/>
        <w:contextualSpacing/>
        <w:jc w:val="both"/>
      </w:pPr>
    </w:p>
    <w:p w14:paraId="7594C546" w14:textId="1E314922" w:rsidR="00DD1808" w:rsidRPr="00C46AC5" w:rsidRDefault="00273C7F" w:rsidP="00C46AC5">
      <w:pPr>
        <w:spacing w:before="240" w:line="240" w:lineRule="auto"/>
        <w:ind w:firstLine="851"/>
        <w:contextualSpacing/>
        <w:jc w:val="both"/>
      </w:pPr>
      <w:r w:rsidRPr="00C46AC5">
        <w:t>Отже</w:t>
      </w:r>
      <w:r w:rsidR="00A25AB0" w:rsidRPr="00C46AC5">
        <w:t xml:space="preserve">, за наявності таблеток дозуванням 250 мг дорослим слід прийняти лише половину таблетки, </w:t>
      </w:r>
      <w:r w:rsidRPr="00C46AC5">
        <w:t>за наявності</w:t>
      </w:r>
      <w:r w:rsidR="00A25AB0" w:rsidRPr="00C46AC5">
        <w:t xml:space="preserve"> </w:t>
      </w:r>
      <w:r w:rsidRPr="00C46AC5">
        <w:t xml:space="preserve">таблеток </w:t>
      </w:r>
      <w:r w:rsidR="00A25AB0" w:rsidRPr="00C46AC5">
        <w:t>дозуванн</w:t>
      </w:r>
      <w:r w:rsidRPr="00C46AC5">
        <w:t>ям</w:t>
      </w:r>
      <w:r w:rsidR="00A25AB0" w:rsidRPr="00C46AC5">
        <w:t xml:space="preserve"> 65 мг – 2 таблетки.</w:t>
      </w:r>
    </w:p>
    <w:p w14:paraId="11BBD8B0" w14:textId="7216B6AE" w:rsidR="00A25AB0" w:rsidRPr="00C46AC5" w:rsidRDefault="00A25AB0" w:rsidP="00C46AC5">
      <w:pPr>
        <w:spacing w:before="240" w:after="240" w:line="240" w:lineRule="auto"/>
        <w:ind w:firstLine="851"/>
        <w:contextualSpacing/>
        <w:jc w:val="both"/>
        <w:rPr>
          <w:rFonts w:eastAsia="Times New Roman"/>
        </w:rPr>
      </w:pPr>
      <w:r w:rsidRPr="00C46AC5">
        <w:rPr>
          <w:rFonts w:eastAsia="Times New Roman"/>
        </w:rPr>
        <w:t xml:space="preserve">У випадку недоступності інших лікарських форм, для отримання необхідної дози </w:t>
      </w:r>
      <w:r w:rsidR="000B19F6" w:rsidRPr="00C46AC5">
        <w:rPr>
          <w:rFonts w:eastAsia="Times New Roman"/>
        </w:rPr>
        <w:t xml:space="preserve">для дітей та немовлят </w:t>
      </w:r>
      <w:r w:rsidRPr="00C46AC5">
        <w:rPr>
          <w:rFonts w:eastAsia="Times New Roman"/>
        </w:rPr>
        <w:t>в домашніх умовах на основі таблеток КІ 250 мг, необхідно:</w:t>
      </w:r>
    </w:p>
    <w:p w14:paraId="6E748378" w14:textId="77777777" w:rsidR="00A25AB0" w:rsidRPr="00C46AC5" w:rsidRDefault="00A25AB0" w:rsidP="00C46AC5">
      <w:pPr>
        <w:pStyle w:val="a3"/>
        <w:numPr>
          <w:ilvl w:val="0"/>
          <w:numId w:val="2"/>
        </w:numPr>
        <w:spacing w:before="240" w:after="240" w:line="240" w:lineRule="auto"/>
        <w:ind w:firstLine="851"/>
        <w:jc w:val="both"/>
        <w:rPr>
          <w:rFonts w:eastAsia="Times New Roman"/>
        </w:rPr>
      </w:pPr>
      <w:r w:rsidRPr="00C46AC5">
        <w:rPr>
          <w:rFonts w:eastAsia="Times New Roman"/>
        </w:rPr>
        <w:t>Помістити пів таблетки КІ у невелику посудину і потовкти у дрібний порошок тильною стороною столової ложки; у порошку не повинно залишатись великих грудок;</w:t>
      </w:r>
    </w:p>
    <w:p w14:paraId="06E480E4" w14:textId="77777777" w:rsidR="00A25AB0" w:rsidRPr="00C46AC5" w:rsidRDefault="00A25AB0" w:rsidP="00C46AC5">
      <w:pPr>
        <w:pStyle w:val="a3"/>
        <w:numPr>
          <w:ilvl w:val="0"/>
          <w:numId w:val="2"/>
        </w:numPr>
        <w:spacing w:before="240" w:after="240" w:line="240" w:lineRule="auto"/>
        <w:ind w:firstLine="851"/>
        <w:jc w:val="both"/>
        <w:rPr>
          <w:rFonts w:eastAsia="Times New Roman"/>
        </w:rPr>
      </w:pPr>
      <w:r w:rsidRPr="00C46AC5">
        <w:rPr>
          <w:rFonts w:eastAsia="Times New Roman"/>
        </w:rPr>
        <w:t>Додати 4 чайні ложки (20 мл) води до порошку КІ та розмішати до повного розчинення;</w:t>
      </w:r>
    </w:p>
    <w:p w14:paraId="07316CB2" w14:textId="77777777" w:rsidR="00A25AB0" w:rsidRPr="00C46AC5" w:rsidRDefault="00A25AB0" w:rsidP="00C46AC5">
      <w:pPr>
        <w:pStyle w:val="a3"/>
        <w:numPr>
          <w:ilvl w:val="0"/>
          <w:numId w:val="2"/>
        </w:numPr>
        <w:spacing w:before="240" w:after="240" w:line="240" w:lineRule="auto"/>
        <w:ind w:firstLine="851"/>
        <w:jc w:val="both"/>
        <w:rPr>
          <w:rFonts w:eastAsia="Times New Roman"/>
        </w:rPr>
      </w:pPr>
      <w:r w:rsidRPr="00C46AC5">
        <w:rPr>
          <w:rFonts w:eastAsia="Times New Roman"/>
        </w:rPr>
        <w:t>Додати 4 чайні ложки (20 мл) молока, фруктового соку або сиропу до розчину KI у воді; в 1 чайній ложці отриманої суміші міститься приблизно 16 мг KI;</w:t>
      </w:r>
    </w:p>
    <w:p w14:paraId="0E238F2E" w14:textId="77777777" w:rsidR="00A25AB0" w:rsidRPr="00C46AC5" w:rsidRDefault="00A25AB0" w:rsidP="00C46AC5">
      <w:pPr>
        <w:pStyle w:val="a3"/>
        <w:numPr>
          <w:ilvl w:val="0"/>
          <w:numId w:val="2"/>
        </w:numPr>
        <w:spacing w:before="240" w:after="240" w:line="240" w:lineRule="auto"/>
        <w:ind w:firstLine="851"/>
        <w:jc w:val="both"/>
        <w:rPr>
          <w:rFonts w:eastAsia="Times New Roman"/>
        </w:rPr>
      </w:pPr>
      <w:r w:rsidRPr="00C46AC5">
        <w:rPr>
          <w:rFonts w:eastAsia="Times New Roman"/>
        </w:rPr>
        <w:t>Рекомендації дозування залежно від віку:</w:t>
      </w:r>
    </w:p>
    <w:p w14:paraId="05389921" w14:textId="3B48EF54" w:rsidR="00A25AB0" w:rsidRPr="00C46AC5" w:rsidRDefault="00A25AB0" w:rsidP="00C46AC5">
      <w:pPr>
        <w:pStyle w:val="a3"/>
        <w:numPr>
          <w:ilvl w:val="1"/>
          <w:numId w:val="5"/>
        </w:numPr>
        <w:spacing w:before="240" w:after="240" w:line="240" w:lineRule="auto"/>
        <w:ind w:left="0" w:firstLine="851"/>
        <w:jc w:val="both"/>
        <w:rPr>
          <w:rFonts w:eastAsia="Times New Roman"/>
        </w:rPr>
      </w:pPr>
      <w:r w:rsidRPr="00C46AC5">
        <w:rPr>
          <w:rFonts w:eastAsia="Times New Roman"/>
        </w:rPr>
        <w:t>від народження до 1 місяця – 1 чайна ложка;</w:t>
      </w:r>
    </w:p>
    <w:p w14:paraId="67572A0D" w14:textId="4B3B0461" w:rsidR="00A25AB0" w:rsidRPr="00C46AC5" w:rsidRDefault="00A25AB0" w:rsidP="00C46AC5">
      <w:pPr>
        <w:pStyle w:val="a3"/>
        <w:numPr>
          <w:ilvl w:val="1"/>
          <w:numId w:val="5"/>
        </w:numPr>
        <w:spacing w:before="240" w:after="240" w:line="240" w:lineRule="auto"/>
        <w:ind w:left="0" w:firstLine="851"/>
        <w:jc w:val="both"/>
        <w:rPr>
          <w:rFonts w:eastAsia="Times New Roman"/>
        </w:rPr>
      </w:pPr>
      <w:r w:rsidRPr="00C46AC5">
        <w:rPr>
          <w:rFonts w:eastAsia="Times New Roman"/>
        </w:rPr>
        <w:t>від 1 місяця до 3 років – 2 чайні ложки;</w:t>
      </w:r>
    </w:p>
    <w:p w14:paraId="5151BAF5" w14:textId="6C6B1BAF" w:rsidR="00A25AB0" w:rsidRPr="00C46AC5" w:rsidRDefault="00A25AB0" w:rsidP="00C46AC5">
      <w:pPr>
        <w:pStyle w:val="a3"/>
        <w:numPr>
          <w:ilvl w:val="1"/>
          <w:numId w:val="5"/>
        </w:numPr>
        <w:spacing w:line="240" w:lineRule="auto"/>
        <w:ind w:left="0" w:firstLine="851"/>
        <w:jc w:val="both"/>
      </w:pPr>
      <w:r w:rsidRPr="00C46AC5">
        <w:rPr>
          <w:rFonts w:eastAsia="Times New Roman"/>
        </w:rPr>
        <w:t>від 3 до 12 років – 4 чайні ложки;</w:t>
      </w:r>
    </w:p>
    <w:p w14:paraId="6411E6C2" w14:textId="1124A9F3" w:rsidR="000B19F6" w:rsidRPr="00C46AC5" w:rsidRDefault="00396920" w:rsidP="00C46AC5">
      <w:pPr>
        <w:spacing w:line="240" w:lineRule="auto"/>
        <w:ind w:firstLine="851"/>
        <w:contextualSpacing/>
        <w:jc w:val="both"/>
      </w:pPr>
      <w:r w:rsidRPr="00C46AC5">
        <w:t xml:space="preserve">Відповідно для отримання дозування для немовлят з таблетки КІ 125 мг у першому кроці потрібно використовувати цілу таблетку, </w:t>
      </w:r>
      <w:r w:rsidR="00B0047E" w:rsidRPr="00C46AC5">
        <w:t xml:space="preserve">а </w:t>
      </w:r>
      <w:r w:rsidRPr="00C46AC5">
        <w:t>не половину. Решта кроків залишаються без змін.</w:t>
      </w:r>
    </w:p>
    <w:p w14:paraId="215DB23E" w14:textId="228BAB73" w:rsidR="004542A3" w:rsidRPr="00C46AC5" w:rsidRDefault="004542A3" w:rsidP="00C46AC5">
      <w:pPr>
        <w:spacing w:line="240" w:lineRule="auto"/>
        <w:ind w:firstLine="851"/>
        <w:contextualSpacing/>
        <w:jc w:val="both"/>
      </w:pPr>
    </w:p>
    <w:p w14:paraId="633D13B9" w14:textId="46FD5E3A" w:rsidR="004542A3" w:rsidRPr="00C46AC5" w:rsidRDefault="004542A3" w:rsidP="00C46AC5">
      <w:pPr>
        <w:spacing w:line="240" w:lineRule="auto"/>
        <w:ind w:firstLine="851"/>
        <w:contextualSpacing/>
        <w:jc w:val="both"/>
        <w:rPr>
          <w:b/>
          <w:bCs/>
        </w:rPr>
      </w:pPr>
      <w:r w:rsidRPr="00C46AC5">
        <w:rPr>
          <w:b/>
          <w:bCs/>
        </w:rPr>
        <w:t>Шкідливий вплив на здоров’я</w:t>
      </w:r>
    </w:p>
    <w:p w14:paraId="1F28B46B"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r w:rsidRPr="00C46AC5">
        <w:rPr>
          <w:sz w:val="28"/>
          <w:szCs w:val="28"/>
        </w:rPr>
        <w:t>Протипоказання до прийому препаратів стабільного йоду:</w:t>
      </w:r>
    </w:p>
    <w:p w14:paraId="779E3F70"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bookmarkStart w:id="5" w:name="n65"/>
      <w:bookmarkEnd w:id="5"/>
      <w:r w:rsidRPr="00C46AC5">
        <w:rPr>
          <w:sz w:val="28"/>
          <w:szCs w:val="28"/>
        </w:rPr>
        <w:t>наявність (у том числі і в анамнезі) захворювань щитоподібної залози, зокрема гіпертиреозу різної природи;</w:t>
      </w:r>
    </w:p>
    <w:p w14:paraId="0CF4B256"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bookmarkStart w:id="6" w:name="n66"/>
      <w:bookmarkEnd w:id="6"/>
      <w:r w:rsidRPr="00C46AC5">
        <w:rPr>
          <w:sz w:val="28"/>
          <w:szCs w:val="28"/>
        </w:rPr>
        <w:t>фурункульоз;</w:t>
      </w:r>
    </w:p>
    <w:p w14:paraId="226A5074"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bookmarkStart w:id="7" w:name="n67"/>
      <w:bookmarkEnd w:id="7"/>
      <w:r w:rsidRPr="00C46AC5">
        <w:rPr>
          <w:sz w:val="28"/>
          <w:szCs w:val="28"/>
        </w:rPr>
        <w:t>токсична аденома;</w:t>
      </w:r>
    </w:p>
    <w:p w14:paraId="639D495B"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bookmarkStart w:id="8" w:name="n68"/>
      <w:bookmarkEnd w:id="8"/>
      <w:r w:rsidRPr="00C46AC5">
        <w:rPr>
          <w:sz w:val="28"/>
          <w:szCs w:val="28"/>
        </w:rPr>
        <w:t>підвищена чутливість</w:t>
      </w:r>
      <w:bookmarkStart w:id="9" w:name="_GoBack"/>
      <w:bookmarkEnd w:id="9"/>
      <w:r w:rsidRPr="00C46AC5">
        <w:rPr>
          <w:sz w:val="28"/>
          <w:szCs w:val="28"/>
        </w:rPr>
        <w:t xml:space="preserve"> до йоду;</w:t>
      </w:r>
    </w:p>
    <w:p w14:paraId="24141262"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bookmarkStart w:id="10" w:name="n69"/>
      <w:bookmarkEnd w:id="10"/>
      <w:proofErr w:type="spellStart"/>
      <w:r w:rsidRPr="00C46AC5">
        <w:rPr>
          <w:sz w:val="28"/>
          <w:szCs w:val="28"/>
        </w:rPr>
        <w:t>герпетиформний</w:t>
      </w:r>
      <w:proofErr w:type="spellEnd"/>
      <w:r w:rsidRPr="00C46AC5">
        <w:rPr>
          <w:sz w:val="28"/>
          <w:szCs w:val="28"/>
        </w:rPr>
        <w:t xml:space="preserve"> дерматит </w:t>
      </w:r>
      <w:proofErr w:type="spellStart"/>
      <w:r w:rsidRPr="00C46AC5">
        <w:rPr>
          <w:sz w:val="28"/>
          <w:szCs w:val="28"/>
        </w:rPr>
        <w:t>Дюринга</w:t>
      </w:r>
      <w:proofErr w:type="spellEnd"/>
      <w:r w:rsidRPr="00C46AC5">
        <w:rPr>
          <w:sz w:val="28"/>
          <w:szCs w:val="28"/>
        </w:rPr>
        <w:t>;</w:t>
      </w:r>
    </w:p>
    <w:p w14:paraId="311209C7"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bookmarkStart w:id="11" w:name="n70"/>
      <w:bookmarkEnd w:id="11"/>
      <w:proofErr w:type="spellStart"/>
      <w:r w:rsidRPr="00C46AC5">
        <w:rPr>
          <w:sz w:val="28"/>
          <w:szCs w:val="28"/>
        </w:rPr>
        <w:t>гіпокомплементемічний</w:t>
      </w:r>
      <w:proofErr w:type="spellEnd"/>
      <w:r w:rsidRPr="00C46AC5">
        <w:rPr>
          <w:sz w:val="28"/>
          <w:szCs w:val="28"/>
        </w:rPr>
        <w:t xml:space="preserve"> васкуліт;</w:t>
      </w:r>
    </w:p>
    <w:p w14:paraId="1C0DD868"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bookmarkStart w:id="12" w:name="n71"/>
      <w:bookmarkEnd w:id="12"/>
      <w:r w:rsidRPr="00C46AC5">
        <w:rPr>
          <w:sz w:val="28"/>
          <w:szCs w:val="28"/>
        </w:rPr>
        <w:t>геморагічний діатез;</w:t>
      </w:r>
    </w:p>
    <w:p w14:paraId="5A33E1B3" w14:textId="77777777" w:rsidR="00C46AC5" w:rsidRPr="00C46AC5" w:rsidRDefault="00C46AC5" w:rsidP="00C46AC5">
      <w:pPr>
        <w:pStyle w:val="rvps2"/>
        <w:shd w:val="clear" w:color="auto" w:fill="FFFFFF"/>
        <w:spacing w:before="0" w:beforeAutospacing="0" w:after="150" w:afterAutospacing="0"/>
        <w:ind w:firstLine="448"/>
        <w:contextualSpacing/>
        <w:jc w:val="both"/>
        <w:rPr>
          <w:sz w:val="28"/>
          <w:szCs w:val="28"/>
        </w:rPr>
      </w:pPr>
      <w:bookmarkStart w:id="13" w:name="n72"/>
      <w:bookmarkEnd w:id="13"/>
      <w:r w:rsidRPr="00C46AC5">
        <w:rPr>
          <w:sz w:val="28"/>
          <w:szCs w:val="28"/>
        </w:rPr>
        <w:t xml:space="preserve">кропив’янка, туберкульоз легень, нефрит, </w:t>
      </w:r>
      <w:proofErr w:type="spellStart"/>
      <w:r w:rsidRPr="00C46AC5">
        <w:rPr>
          <w:sz w:val="28"/>
          <w:szCs w:val="28"/>
        </w:rPr>
        <w:t>нефроз</w:t>
      </w:r>
      <w:proofErr w:type="spellEnd"/>
      <w:r w:rsidRPr="00C46AC5">
        <w:rPr>
          <w:sz w:val="28"/>
          <w:szCs w:val="28"/>
        </w:rPr>
        <w:t>, піодермія.</w:t>
      </w:r>
    </w:p>
    <w:p w14:paraId="51D0905C" w14:textId="2DC2D176" w:rsidR="00C46AC5" w:rsidRPr="00C46AC5" w:rsidRDefault="00C46AC5" w:rsidP="00C46AC5">
      <w:pPr>
        <w:spacing w:line="240" w:lineRule="auto"/>
        <w:ind w:firstLine="851"/>
        <w:contextualSpacing/>
        <w:jc w:val="both"/>
      </w:pPr>
      <w:r w:rsidRPr="00C46AC5">
        <w:t>Т</w:t>
      </w:r>
      <w:r w:rsidRPr="00C46AC5">
        <w:t xml:space="preserve">имчасова блокада функції щитоподібної залози та одноразове введення </w:t>
      </w:r>
      <w:proofErr w:type="spellStart"/>
      <w:r w:rsidRPr="00C46AC5">
        <w:t>йодовмісних</w:t>
      </w:r>
      <w:proofErr w:type="spellEnd"/>
      <w:r w:rsidRPr="00C46AC5">
        <w:t xml:space="preserve"> препаратів практично не позначається на стані здоров’я дітей та дорослих.</w:t>
      </w:r>
    </w:p>
    <w:p w14:paraId="131DE25D" w14:textId="1CA949DD" w:rsidR="002303C1" w:rsidRPr="00C46AC5" w:rsidRDefault="00C46AC5" w:rsidP="00C46AC5">
      <w:pPr>
        <w:spacing w:line="240" w:lineRule="auto"/>
        <w:ind w:firstLine="851"/>
        <w:contextualSpacing/>
        <w:jc w:val="both"/>
      </w:pPr>
      <w:r w:rsidRPr="00C46AC5">
        <w:t xml:space="preserve">Тривала блокада функції щитоподібної залози після багаторазового прийому великих </w:t>
      </w:r>
      <w:proofErr w:type="spellStart"/>
      <w:r w:rsidRPr="00C46AC5">
        <w:t>дозувань</w:t>
      </w:r>
      <w:proofErr w:type="spellEnd"/>
      <w:r w:rsidRPr="00C46AC5">
        <w:t xml:space="preserve"> </w:t>
      </w:r>
      <w:proofErr w:type="spellStart"/>
      <w:r w:rsidRPr="00C46AC5">
        <w:t>йодовмісних</w:t>
      </w:r>
      <w:proofErr w:type="spellEnd"/>
      <w:r w:rsidRPr="00C46AC5">
        <w:t xml:space="preserve"> препаратів збільшує ризик гіпотиреозу</w:t>
      </w:r>
      <w:r w:rsidRPr="00C46AC5">
        <w:t>.</w:t>
      </w:r>
    </w:p>
    <w:sectPr w:rsidR="002303C1" w:rsidRPr="00C46AC5" w:rsidSect="00BB56B0">
      <w:headerReference w:type="default" r:id="rId8"/>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4F5E7" w14:textId="77777777" w:rsidR="002B7015" w:rsidRDefault="002B7015" w:rsidP="00BB56B0">
      <w:pPr>
        <w:spacing w:after="0" w:line="240" w:lineRule="auto"/>
      </w:pPr>
      <w:r>
        <w:separator/>
      </w:r>
    </w:p>
  </w:endnote>
  <w:endnote w:type="continuationSeparator" w:id="0">
    <w:p w14:paraId="5E1C643D" w14:textId="77777777" w:rsidR="002B7015" w:rsidRDefault="002B7015" w:rsidP="00BB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425A2" w14:textId="77777777" w:rsidR="002B7015" w:rsidRDefault="002B7015" w:rsidP="00BB56B0">
      <w:pPr>
        <w:spacing w:after="0" w:line="240" w:lineRule="auto"/>
      </w:pPr>
      <w:r>
        <w:separator/>
      </w:r>
    </w:p>
  </w:footnote>
  <w:footnote w:type="continuationSeparator" w:id="0">
    <w:p w14:paraId="0FE371B9" w14:textId="77777777" w:rsidR="002B7015" w:rsidRDefault="002B7015" w:rsidP="00BB5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593428"/>
      <w:docPartObj>
        <w:docPartGallery w:val="Page Numbers (Top of Page)"/>
        <w:docPartUnique/>
      </w:docPartObj>
    </w:sdtPr>
    <w:sdtContent>
      <w:p w14:paraId="051D5D42" w14:textId="625449B9" w:rsidR="00BB56B0" w:rsidRDefault="00BB56B0">
        <w:pPr>
          <w:pStyle w:val="a4"/>
          <w:jc w:val="center"/>
        </w:pPr>
        <w:r>
          <w:fldChar w:fldCharType="begin"/>
        </w:r>
        <w:r>
          <w:instrText>PAGE   \* MERGEFORMAT</w:instrText>
        </w:r>
        <w:r>
          <w:fldChar w:fldCharType="separate"/>
        </w:r>
        <w:r>
          <w:t>2</w:t>
        </w:r>
        <w:r>
          <w:fldChar w:fldCharType="end"/>
        </w:r>
      </w:p>
    </w:sdtContent>
  </w:sdt>
  <w:p w14:paraId="29D86735" w14:textId="77777777" w:rsidR="00BB56B0" w:rsidRDefault="00BB56B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D70"/>
    <w:multiLevelType w:val="hybridMultilevel"/>
    <w:tmpl w:val="D422C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07641CE"/>
    <w:multiLevelType w:val="hybridMultilevel"/>
    <w:tmpl w:val="56346A58"/>
    <w:lvl w:ilvl="0" w:tplc="FFFFFFFF">
      <w:start w:val="1"/>
      <w:numFmt w:val="bullet"/>
      <w:lvlText w:val=""/>
      <w:lvlJc w:val="left"/>
      <w:pPr>
        <w:ind w:left="720" w:hanging="360"/>
      </w:pPr>
      <w:rPr>
        <w:rFonts w:ascii="Symbol" w:hAnsi="Symbol" w:hint="default"/>
      </w:rPr>
    </w:lvl>
    <w:lvl w:ilvl="1" w:tplc="98DA5DB2">
      <w:start w:val="1"/>
      <w:numFmt w:val="bullet"/>
      <w:lvlText w:val=""/>
      <w:lvlJc w:val="left"/>
      <w:pPr>
        <w:ind w:left="234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D4537A"/>
    <w:multiLevelType w:val="hybridMultilevel"/>
    <w:tmpl w:val="FD565D9C"/>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234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491164"/>
    <w:multiLevelType w:val="hybridMultilevel"/>
    <w:tmpl w:val="9364F6EC"/>
    <w:lvl w:ilvl="0" w:tplc="98DA5D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0710A85"/>
    <w:multiLevelType w:val="hybridMultilevel"/>
    <w:tmpl w:val="AF5A7B3C"/>
    <w:lvl w:ilvl="0" w:tplc="0422000F">
      <w:start w:val="1"/>
      <w:numFmt w:val="decimal"/>
      <w:lvlText w:val="%1."/>
      <w:lvlJc w:val="left"/>
      <w:pPr>
        <w:ind w:left="720" w:hanging="360"/>
      </w:pPr>
      <w:rPr>
        <w:rFonts w:hint="default"/>
      </w:rPr>
    </w:lvl>
    <w:lvl w:ilvl="1" w:tplc="88B64FE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85"/>
    <w:rsid w:val="000626A4"/>
    <w:rsid w:val="000B19F6"/>
    <w:rsid w:val="001749B3"/>
    <w:rsid w:val="001A4D12"/>
    <w:rsid w:val="002303C1"/>
    <w:rsid w:val="00273C7F"/>
    <w:rsid w:val="002B3C7C"/>
    <w:rsid w:val="002B7015"/>
    <w:rsid w:val="002C3D46"/>
    <w:rsid w:val="002E0162"/>
    <w:rsid w:val="00396920"/>
    <w:rsid w:val="003B2A14"/>
    <w:rsid w:val="0040107A"/>
    <w:rsid w:val="00427E20"/>
    <w:rsid w:val="00434770"/>
    <w:rsid w:val="00436385"/>
    <w:rsid w:val="004542A3"/>
    <w:rsid w:val="00456627"/>
    <w:rsid w:val="004F388F"/>
    <w:rsid w:val="00532FE2"/>
    <w:rsid w:val="005E515E"/>
    <w:rsid w:val="006178A1"/>
    <w:rsid w:val="006C40A1"/>
    <w:rsid w:val="007C4415"/>
    <w:rsid w:val="007D6789"/>
    <w:rsid w:val="007E5ED1"/>
    <w:rsid w:val="008F5FC1"/>
    <w:rsid w:val="008F7CC6"/>
    <w:rsid w:val="009A0370"/>
    <w:rsid w:val="00A25AB0"/>
    <w:rsid w:val="00AA70AA"/>
    <w:rsid w:val="00B0047E"/>
    <w:rsid w:val="00BB56B0"/>
    <w:rsid w:val="00BE5937"/>
    <w:rsid w:val="00C46AC5"/>
    <w:rsid w:val="00D67D1C"/>
    <w:rsid w:val="00DB2EBD"/>
    <w:rsid w:val="00DD1808"/>
    <w:rsid w:val="00FC41BE"/>
    <w:rsid w:val="00FF65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EE65"/>
  <w15:chartTrackingRefBased/>
  <w15:docId w15:val="{B78464B4-51D8-41C4-AA11-FC4D3C06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BE"/>
    <w:pPr>
      <w:ind w:left="720"/>
      <w:contextualSpacing/>
    </w:pPr>
  </w:style>
  <w:style w:type="paragraph" w:customStyle="1" w:styleId="rvps12">
    <w:name w:val="rvps12"/>
    <w:basedOn w:val="a"/>
    <w:rsid w:val="00DD1808"/>
    <w:pPr>
      <w:spacing w:before="100" w:beforeAutospacing="1" w:after="100" w:afterAutospacing="1" w:line="240" w:lineRule="auto"/>
    </w:pPr>
    <w:rPr>
      <w:rFonts w:eastAsia="Times New Roman"/>
      <w:sz w:val="24"/>
      <w:szCs w:val="24"/>
      <w:lang w:eastAsia="uk-UA"/>
    </w:rPr>
  </w:style>
  <w:style w:type="character" w:customStyle="1" w:styleId="rvts9">
    <w:name w:val="rvts9"/>
    <w:basedOn w:val="a0"/>
    <w:rsid w:val="00DD1808"/>
  </w:style>
  <w:style w:type="paragraph" w:customStyle="1" w:styleId="rvps14">
    <w:name w:val="rvps14"/>
    <w:basedOn w:val="a"/>
    <w:rsid w:val="00DD1808"/>
    <w:pPr>
      <w:spacing w:before="100" w:beforeAutospacing="1" w:after="100" w:afterAutospacing="1" w:line="240" w:lineRule="auto"/>
    </w:pPr>
    <w:rPr>
      <w:rFonts w:eastAsia="Times New Roman"/>
      <w:sz w:val="24"/>
      <w:szCs w:val="24"/>
      <w:lang w:eastAsia="uk-UA"/>
    </w:rPr>
  </w:style>
  <w:style w:type="character" w:customStyle="1" w:styleId="rvts82">
    <w:name w:val="rvts82"/>
    <w:basedOn w:val="a0"/>
    <w:rsid w:val="00DD1808"/>
  </w:style>
  <w:style w:type="paragraph" w:styleId="a4">
    <w:name w:val="header"/>
    <w:basedOn w:val="a"/>
    <w:link w:val="a5"/>
    <w:uiPriority w:val="99"/>
    <w:unhideWhenUsed/>
    <w:rsid w:val="00BB56B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BB56B0"/>
  </w:style>
  <w:style w:type="paragraph" w:styleId="a6">
    <w:name w:val="footer"/>
    <w:basedOn w:val="a"/>
    <w:link w:val="a7"/>
    <w:uiPriority w:val="99"/>
    <w:unhideWhenUsed/>
    <w:rsid w:val="00BB56B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BB56B0"/>
  </w:style>
  <w:style w:type="paragraph" w:customStyle="1" w:styleId="rvps2">
    <w:name w:val="rvps2"/>
    <w:basedOn w:val="a"/>
    <w:rsid w:val="00C46AC5"/>
    <w:pPr>
      <w:spacing w:before="100" w:beforeAutospacing="1" w:after="100" w:afterAutospacing="1" w:line="240" w:lineRule="auto"/>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1812">
      <w:bodyDiv w:val="1"/>
      <w:marLeft w:val="0"/>
      <w:marRight w:val="0"/>
      <w:marTop w:val="0"/>
      <w:marBottom w:val="0"/>
      <w:divBdr>
        <w:top w:val="none" w:sz="0" w:space="0" w:color="auto"/>
        <w:left w:val="none" w:sz="0" w:space="0" w:color="auto"/>
        <w:bottom w:val="none" w:sz="0" w:space="0" w:color="auto"/>
        <w:right w:val="none" w:sz="0" w:space="0" w:color="auto"/>
      </w:divBdr>
    </w:div>
    <w:div w:id="327100758">
      <w:bodyDiv w:val="1"/>
      <w:marLeft w:val="0"/>
      <w:marRight w:val="0"/>
      <w:marTop w:val="0"/>
      <w:marBottom w:val="0"/>
      <w:divBdr>
        <w:top w:val="none" w:sz="0" w:space="0" w:color="auto"/>
        <w:left w:val="none" w:sz="0" w:space="0" w:color="auto"/>
        <w:bottom w:val="none" w:sz="0" w:space="0" w:color="auto"/>
        <w:right w:val="none" w:sz="0" w:space="0" w:color="auto"/>
      </w:divBdr>
    </w:div>
    <w:div w:id="1583877102">
      <w:bodyDiv w:val="1"/>
      <w:marLeft w:val="0"/>
      <w:marRight w:val="0"/>
      <w:marTop w:val="0"/>
      <w:marBottom w:val="0"/>
      <w:divBdr>
        <w:top w:val="none" w:sz="0" w:space="0" w:color="auto"/>
        <w:left w:val="none" w:sz="0" w:space="0" w:color="auto"/>
        <w:bottom w:val="none" w:sz="0" w:space="0" w:color="auto"/>
        <w:right w:val="none" w:sz="0" w:space="0" w:color="auto"/>
      </w:divBdr>
      <w:divsChild>
        <w:div w:id="15363102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6EE1-5FE7-438B-A302-96B7C801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3</Pages>
  <Words>4262</Words>
  <Characters>2430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11</cp:revision>
  <cp:lastPrinted>2022-07-07T14:10:00Z</cp:lastPrinted>
  <dcterms:created xsi:type="dcterms:W3CDTF">2022-07-05T10:00:00Z</dcterms:created>
  <dcterms:modified xsi:type="dcterms:W3CDTF">2022-07-28T20:04:00Z</dcterms:modified>
</cp:coreProperties>
</file>