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>НІЖИНСЬКА МІСЬКА РАДА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ВИКОНАВЧИЙ КОМІТЕТ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>П Р О Т О К О Л</w:t>
      </w:r>
    </w:p>
    <w:p>
      <w:pPr>
        <w:spacing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Від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10 лютого </w:t>
      </w:r>
      <w:r>
        <w:rPr>
          <w:rFonts w:ascii="Times New Roman" w:hAnsi="Times New Roman" w:eastAsia="Times New Roman" w:cs="Times New Roman"/>
          <w:sz w:val="28"/>
          <w:szCs w:val="28"/>
        </w:rPr>
        <w:t>20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м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Ніжин                            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5</w:t>
      </w:r>
    </w:p>
    <w:p>
      <w:pPr>
        <w:spacing w:after="0"/>
        <w:ind w:left="4248" w:firstLine="70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Засідання розпочато о 09.00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Засідання закінчено  о  09.45  годині</w:t>
      </w:r>
    </w:p>
    <w:p>
      <w:pPr>
        <w:spacing w:after="0"/>
        <w:ind w:left="42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засіданні виконавчого комітету взяли участь: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Члени виконавчого комітету міської ради  Величко Л.М., Галіч Ю.В., Дорохін В.Г., Кодола О.М., Смага С.С.,  Пелехай Л.М., Хоменко Ю.Ю.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На засіданні виконавчого комітету відсутні члени виконкому Вовченко Ф.І.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Times New Roman" w:cs="Times New Roman"/>
          <w:sz w:val="28"/>
          <w:szCs w:val="28"/>
        </w:rPr>
        <w:t>До участі в засіданн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виконавчого комітету запрошені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:</w:t>
      </w:r>
    </w:p>
    <w:tbl>
      <w:tblPr>
        <w:tblStyle w:val="4"/>
        <w:tblpPr w:leftFromText="180" w:rightFromText="180" w:bottomFromText="160" w:vertAnchor="text" w:horzAnchor="margin" w:tblpY="214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394"/>
        <w:gridCol w:w="54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Бассак Т.Ф.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46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управління культури і туризму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Бойко Н.Г.</w:t>
            </w:r>
          </w:p>
        </w:tc>
        <w:tc>
          <w:tcPr>
            <w:tcW w:w="139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благоустрою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житлових питань, паркування, роботи з органами самоорганізації населення та взаємодії з правоохоронними органами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Гук О.О.</w:t>
            </w:r>
          </w:p>
        </w:tc>
        <w:tc>
          <w:tcPr>
            <w:tcW w:w="139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т.в.о. начальника відділу  інформаційно-аналітичної роботи та комунікацій з громадськістю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Доля О.В.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Кушніренко  А.М.</w:t>
            </w:r>
          </w:p>
        </w:tc>
        <w:tc>
          <w:tcPr>
            <w:tcW w:w="1394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     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       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управління житлово-комунального господарства та будівництва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Лаврінець В.Ю.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Лега В.О.</w:t>
            </w:r>
          </w:p>
        </w:tc>
        <w:tc>
          <w:tcPr>
            <w:tcW w:w="1394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начальник КП «Муніципальна служба правопорядку - ВАРТА»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Назаріна І.В.</w:t>
            </w:r>
          </w:p>
        </w:tc>
        <w:tc>
          <w:tcPr>
            <w:tcW w:w="1394" w:type="dxa"/>
          </w:tcPr>
          <w:p>
            <w:pPr>
              <w:pStyle w:val="12"/>
              <w:numPr>
                <w:ilvl w:val="0"/>
                <w:numId w:val="1"/>
              </w:num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сектора з питань прийому звернень відділу з питань діловодства та роботи зі зверненнями громадян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Орел О.В.</w:t>
            </w:r>
          </w:p>
        </w:tc>
        <w:tc>
          <w:tcPr>
            <w:tcW w:w="1394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радник міського голови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Плетньова Т.О.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Рацин Н.Б.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Чуйко М.А.</w:t>
            </w:r>
          </w:p>
        </w:tc>
        <w:tc>
          <w:tcPr>
            <w:tcW w:w="1394" w:type="dxa"/>
          </w:tcPr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сектора інвестиційної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економіки та інвестиційної діяльності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служби у справах дітей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начальник відділу з питань надзвичайних ситуацій, цивільного захисту населення, оборонної та мобілізаційної роботи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85" w:type="dxa"/>
          </w:tcPr>
          <w:p>
            <w:pPr>
              <w:spacing w:after="0"/>
              <w:ind w:right="-878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Представники громади,  місцевих і регіональних</w:t>
            </w:r>
          </w:p>
          <w:p>
            <w:pPr>
              <w:spacing w:after="0"/>
              <w:ind w:right="-87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ЗМІ:</w:t>
            </w:r>
          </w:p>
        </w:tc>
        <w:tc>
          <w:tcPr>
            <w:tcW w:w="1394" w:type="dxa"/>
          </w:tcPr>
          <w:p>
            <w:pPr>
              <w:spacing w:after="0"/>
            </w:pPr>
          </w:p>
        </w:tc>
        <w:tc>
          <w:tcPr>
            <w:tcW w:w="5461" w:type="dxa"/>
          </w:tcPr>
          <w:p>
            <w:pPr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085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В. Нікітіна</w:t>
            </w:r>
          </w:p>
        </w:tc>
        <w:tc>
          <w:tcPr>
            <w:tcW w:w="139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    -</w:t>
            </w:r>
          </w:p>
        </w:tc>
        <w:tc>
          <w:tcPr>
            <w:tcW w:w="5461" w:type="dxa"/>
          </w:tcPr>
          <w:p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«Уездные новости»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3085" w:type="dxa"/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С. Ковальов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Н.Сокол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Т. Марченко 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В. Пильник </w:t>
            </w:r>
          </w:p>
        </w:tc>
        <w:tc>
          <w:tcPr>
            <w:tcW w:w="1394" w:type="dxa"/>
          </w:tcPr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-</w:t>
            </w:r>
          </w:p>
          <w:p>
            <w:pPr>
              <w:spacing w:after="0"/>
              <w:ind w:firstLine="567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46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начальник сектора комунікацій з громадськістю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відділу  інформаційно-аналітичної роботи та комунікацій з громадськістю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журналіст газети «Вісті»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  <w:t>May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en-US"/>
              </w:rPr>
              <w:t>nizhin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журналіст видання «Свідомий погляд»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en-US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Головуючий повідомив, що на засіданні виконавчого комітету                10.02.2022 р. присутні 7 членів виконавчого комітету і запропонував розпочати засідання.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За пропозицію розпочати засідання – 7.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Одноголосно.  </w:t>
      </w:r>
    </w:p>
    <w:p>
      <w:pPr>
        <w:spacing w:after="0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                                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Формування порядку денного:</w:t>
      </w:r>
    </w:p>
    <w:p>
      <w:pPr>
        <w:spacing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– пропозиція Плетньової Т. О.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внести до порядку денного проект рішення:</w:t>
      </w:r>
    </w:p>
    <w:p>
      <w:pPr>
        <w:spacing w:after="0"/>
        <w:jc w:val="both"/>
        <w:rPr>
          <w:rFonts w:ascii="Times New Roman" w:hAnsi="Times New Roman" w:eastAsia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</w:rPr>
        <w:t>Про затвердження Положення про відкритий конкурс на кращий ескіз для муралу на вул. Гоголя у м. Ніжині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/>
        </w:rPr>
        <w:t>»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;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2 – пропозиція Чуйка М. А. внести до порядку денного проект рішення:</w:t>
      </w:r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- «</w:t>
      </w:r>
      <w:r>
        <w:rPr>
          <w:rFonts w:ascii="Times New Roman" w:hAnsi="Times New Roman" w:cs="Times New Roman"/>
          <w:sz w:val="28"/>
          <w:szCs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3 – пропозиція Назаріної І. В. внести до порядку денного проект рішення:</w:t>
      </w:r>
    </w:p>
    <w:p>
      <w:pPr>
        <w:pStyle w:val="7"/>
        <w:tabs>
          <w:tab w:val="left" w:pos="7260"/>
        </w:tabs>
        <w:ind w:left="0"/>
        <w:rPr>
          <w:sz w:val="28"/>
          <w:szCs w:val="28"/>
        </w:rPr>
      </w:pPr>
      <w:r>
        <w:rPr>
          <w:sz w:val="28"/>
          <w:szCs w:val="28"/>
        </w:rPr>
        <w:t>- «Про надання одноразової матеріальної допомоги»;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uk-UA"/>
        </w:rPr>
        <w:t>– пропозиція Бассак Т. Ф. внести до порядку денного проект рішення:</w:t>
      </w:r>
    </w:p>
    <w:p>
      <w:pPr>
        <w:pStyle w:val="11"/>
        <w:numPr>
          <w:ilvl w:val="0"/>
          <w:numId w:val="2"/>
        </w:numPr>
        <w:spacing w:line="276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 фінансування заходів міської програми розвитку культури, мистецтв і охорони культурної спадщини»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uk-UA"/>
        </w:rPr>
        <w:t>– пропозиція Рацин Н. Б. внести до порядку денного проекти рішень: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 xml:space="preserve"> Про розгляд матеріалів комісії з питань захисту прав дитини;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негайне відібрання дитини;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</w:t>
      </w:r>
    </w:p>
    <w:p>
      <w:pPr>
        <w:pStyle w:val="11"/>
        <w:spacing w:line="276" w:lineRule="auto"/>
        <w:ind w:left="36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pStyle w:val="11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Головуючий пропонує внести запропоновані проекти рішень до порядку денного та затвердити  його.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За –     7. Одноголосно.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ДЕННИЙ: </w:t>
      </w: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93671987"/>
      <w:r>
        <w:rPr>
          <w:rFonts w:ascii="Times New Roman" w:hAnsi="Times New Roman" w:cs="Times New Roman"/>
          <w:bCs/>
          <w:sz w:val="28"/>
          <w:szCs w:val="28"/>
        </w:rPr>
        <w:t>Про розподіл житла, затвердження  списків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осіб, які перебувають  на квартирному, обліку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місцем роботи, про постановку на квартирний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облік, затвердження рішень, зміну статусу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приміщень, внесення змін до квартоблікових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справ та зняття з квартирного обліку</w:t>
      </w:r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>
      <w:pPr>
        <w:pStyle w:val="1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45180529"/>
      <w:bookmarkStart w:id="2" w:name="_Hlk83114790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bookmarkEnd w:id="1"/>
      <w:r>
        <w:rPr>
          <w:rFonts w:ascii="Times New Roman" w:hAnsi="Times New Roman" w:cs="Times New Roman"/>
          <w:bCs/>
          <w:sz w:val="28"/>
          <w:szCs w:val="28"/>
          <w:lang w:val="uk-UA"/>
        </w:rPr>
        <w:t>надання житла</w:t>
      </w:r>
      <w:bookmarkEnd w:id="2"/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>
      <w:pPr>
        <w:pStyle w:val="12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 особового рахунку.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Style w:val="16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Про    видалення   зелених насаджень   на    території Ніжинської територіальної</w:t>
      </w: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>громади</w:t>
      </w: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pStyle w:val="22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 xml:space="preserve">Про    створення   постійно   діючої    комісії  з питань визначення  стану  зелених  насаджень та їх відновної  вартості у  населених  пунктах Ніжинської      територіальної      громади     та затвердження Положення про  постійно  діючу комісію 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  питань  визначення  стану  зелених насаджень та їх відновної вартості у населених пунктах Ніжинської територіальної громади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/>
        </w:rPr>
        <w:t>.</w:t>
      </w:r>
    </w:p>
    <w:p>
      <w:pPr>
        <w:pStyle w:val="22"/>
        <w:numPr>
          <w:ilvl w:val="0"/>
          <w:numId w:val="3"/>
        </w:numPr>
        <w:shd w:val="clear" w:color="auto" w:fill="auto"/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рішення конкурсного комітету щодо визначення переможця конкурсу на автобусному маршруті загального користування № 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pStyle w:val="12"/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подання клопотання щодо присвоєння почесного звання «Заслужений працівник культури України» керівнику зразкового аматорського ансамблю танцю «Вікторія» Ніжинського міського Будинку культури – Вишневій Вікторії Миколаївні.</w:t>
      </w:r>
    </w:p>
    <w:p>
      <w:pPr>
        <w:pStyle w:val="12"/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Про затвердження Положення про відкритий конкурс на кращий ескіз для муралу на вул. Гоголя у м. Ніжині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. </w:t>
      </w:r>
    </w:p>
    <w:p>
      <w:pPr>
        <w:pStyle w:val="12"/>
        <w:numPr>
          <w:ilvl w:val="0"/>
          <w:numId w:val="3"/>
        </w:numPr>
        <w:spacing w:after="0" w:line="240" w:lineRule="auto"/>
        <w:ind w:left="360" w:firstLine="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2022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одноразової матеріальної допомоги. 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 і охорони культурної спадщини.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 xml:space="preserve"> 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>Про розгляд матеріалів комісії з питань захисту прав дитини.</w:t>
      </w:r>
      <w:r>
        <w:rPr>
          <w:sz w:val="28"/>
          <w:szCs w:val="28"/>
          <w:lang w:val="uk-UA"/>
        </w:rPr>
        <w:t xml:space="preserve"> 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негайне відібрання дитини.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2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вихователя.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Розгляд питань порядку денного</w:t>
      </w: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 </w:t>
      </w:r>
      <w:r>
        <w:rPr>
          <w:rStyle w:val="16"/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Про розподіл житла, затвердження  списків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осіб, які перебувають  на квартирному, обліку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місцем роботи, про постановку на квартирний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облік, затвердження рішень, зміну статусу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приміщень, внесення змін до квартоблікових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справ та зняття з квартирного обліку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Н.Г., яка ознайомила присутніх із проектом рішення.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35   додається.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Про надання житла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СЛУХАЛИ: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Н.Г., яка ознайомила присутніх із проектом рішення.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36  додається.</w:t>
            </w:r>
          </w:p>
        </w:tc>
      </w:tr>
    </w:tbl>
    <w:p>
      <w:p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pStyle w:val="12"/>
        <w:numPr>
          <w:ilvl w:val="0"/>
          <w:numId w:val="4"/>
        </w:num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переоформлення  особового рахунку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Н.Г., яка ознайомила присутніх із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Рішення № 37    додається.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4. </w:t>
      </w:r>
      <w:r>
        <w:rPr>
          <w:rStyle w:val="16"/>
          <w:rFonts w:ascii="Times New Roman" w:hAnsi="Times New Roman" w:cs="Times New Roman"/>
          <w:sz w:val="28"/>
          <w:szCs w:val="28"/>
        </w:rPr>
        <w:t>Про    видалення   зелених насаджень   на    території Ніжинської територіальної</w:t>
      </w:r>
      <w:r>
        <w:rPr>
          <w:rStyle w:val="16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16"/>
          <w:rFonts w:ascii="Times New Roman" w:hAnsi="Times New Roman" w:cs="Times New Roman"/>
          <w:sz w:val="28"/>
          <w:szCs w:val="28"/>
        </w:rPr>
        <w:t>громади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А.М., який ознайомив присутніх із проектом рішення. Пояснив необхідність видалення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на території лісопаркової зони по вул. Прилуцька – 503 дерев (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сухостій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відповідним висновком комісії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uk-UA"/>
              </w:rPr>
              <w:t>з питань визначення  стану  зелених  насаджень.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№ 38   додається.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>
      <w:pPr>
        <w:pStyle w:val="22"/>
        <w:shd w:val="clear" w:color="auto" w:fill="auto"/>
        <w:spacing w:line="322" w:lineRule="exact"/>
        <w:ind w:left="23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Про    створення   постійно   діючої    комісії  з питань визначення  стану  зелених  насаджень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та їх відновної  вартості у  населених  пунктах Ніжинської      територіальної      громади    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затвердження Положення про  постійно  діючу комісію   з  питань  визначення  стану  зелених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насаджень та їх відновної вартості у населених пунктах Ніжинської територіальної громади</w:t>
      </w:r>
    </w:p>
    <w:p>
      <w:p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24"/>
        <w:gridCol w:w="668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А.М., який ознайомив присутніх із проектом рішення.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atLeast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39 додається.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26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6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6.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рішення конкурсного комітету щодо визначення переможця конкурсу на автобусному маршруті загального користування № 8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 w:eastAsia="en-US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Кушніренко А.М., який ознайомив присутніх із проектом рішення.</w:t>
            </w:r>
          </w:p>
        </w:tc>
      </w:tr>
      <w:tr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40 додається.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  7.</w:t>
      </w: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подання клопотання щодо присвоєння почесного звання «Заслужений працівник культури України» керівнику зразкового аматорського ансамблю танцю «Вікторія» Ніжинського міського Будинку культури – Вишневій Вікторії Миколаївні</w:t>
      </w:r>
    </w:p>
    <w:p>
      <w:p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Бассак Т.Ф., яка ознайомила присутніх із проектом рішення.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Дорохін В.Г., підтримав кандидатуру, проте зауважив на необхідності ретельно дотримуватися вимог під час підготовки пакету документів кандидата на присвоєння почесного звання «Заслужений працівник культури України».</w:t>
            </w:r>
          </w:p>
          <w:p>
            <w:pPr>
              <w:jc w:val="both"/>
              <w:rPr>
                <w:rStyle w:val="1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 xml:space="preserve"> Лега В.О., зазначив, що всі документи надані відповідно до вимог Положення про почесні звання України, затвердженого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Указом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Президента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України   від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29 .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  <w:r>
              <w:rPr>
                <w:rStyle w:val="16"/>
                <w:rFonts w:ascii="Times New Roman" w:hAnsi="Times New Roman" w:cs="Times New Roman"/>
                <w:sz w:val="28"/>
                <w:szCs w:val="28"/>
              </w:rPr>
              <w:t>. 2001 року N 476/2001.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41 додається.</w:t>
            </w:r>
          </w:p>
        </w:tc>
      </w:tr>
    </w:tbl>
    <w:p>
      <w:pPr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8. </w:t>
      </w:r>
      <w:r>
        <w:rPr>
          <w:rFonts w:ascii="Times New Roman" w:hAnsi="Times New Roman" w:eastAsia="Times New Roman" w:cs="Times New Roman"/>
          <w:sz w:val="28"/>
          <w:szCs w:val="28"/>
        </w:rPr>
        <w:t>Про затвердження Положення про відкритий конкурс на кращий ескіз для муралу на вул. Гоголя у м. Ніжині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Плетньову Т.О., яка представила проект рішення та коротко ознайомила з умовами проведення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відкритого конкурсу на кращий ескіз для муралу на вул. Гоголя у м. Ніжині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Кодола О.М., зазначив, що створення муралу – це ініціатива  жителів міста, яку він схвалює і підтримує. Проведення конкурсу мотивуватиме творчих людей, художників на створення творів патріотичного та краєзнавчого спрямування.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42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9. </w:t>
      </w:r>
      <w:r>
        <w:rPr>
          <w:rFonts w:ascii="Times New Roman" w:hAnsi="Times New Roman" w:cs="Times New Roman"/>
          <w:sz w:val="28"/>
          <w:szCs w:val="28"/>
        </w:rPr>
        <w:t>Про організацію та проведення на території Ніжинської територіальної громади чергового призову на строкову військову службу громадян України у квітні-червні 2022 року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Чуйка М.А., який ознайомив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43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матеріальної допомоги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ВИСТУПИЛИ: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Назаріну І.В., яка ознайомила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Кодола О.М., міський голова, повідомив, що під час проведення зустрічі з сім’ями 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 xml:space="preserve">загиблих учасників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АТО були висловлені побажання щодо збільшення суми допомоги та пообіцяв переглянути суми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одноразової матеріальної допомоги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сім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ям зазначеної категорії під час перерозподілу бюджету.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44 додається.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uk-UA"/>
        </w:rPr>
        <w:t>Про фінансування заходів міської програми розвитку культури, мистецтв і охорони культурної спадщини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 Т.Ф., яка ознайомила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45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  <w:t>Про розгляд матеріалів комісії з питань захисту прав дитини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 Н.Б., яка ознайомила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46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13. </w:t>
      </w:r>
      <w:r>
        <w:rPr>
          <w:rFonts w:ascii="Times New Roman" w:hAnsi="Times New Roman" w:cs="Times New Roman"/>
          <w:sz w:val="28"/>
          <w:szCs w:val="28"/>
          <w:lang w:val="uk-UA"/>
        </w:rPr>
        <w:t>Про негайне відібрання дитини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 Н.Б., яка ознайомила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47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 w:eastAsia="Andale Sans UI" w:cs="Times New Roman"/>
          <w:kern w:val="2"/>
          <w:sz w:val="28"/>
          <w:szCs w:val="28"/>
          <w:lang w:val="uk-UA" w:eastAsia="en-US"/>
        </w:rPr>
      </w:pPr>
      <w:r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влаштування дитини в сім’ю патронатного вихователя</w:t>
      </w:r>
    </w:p>
    <w:p>
      <w:pPr>
        <w:tabs>
          <w:tab w:val="left" w:pos="-5670"/>
          <w:tab w:val="left" w:pos="456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71"/>
        <w:gridCol w:w="68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6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 Н.Б., яка ознайомила присутніх з проектом рішення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1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 7.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48 додається.</w:t>
            </w:r>
          </w:p>
        </w:tc>
      </w:tr>
    </w:tbl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tabs>
          <w:tab w:val="left" w:pos="574"/>
          <w:tab w:val="left" w:pos="5805"/>
          <w:tab w:val="right" w:pos="9354"/>
        </w:tabs>
        <w:spacing w:after="0" w:line="240" w:lineRule="auto"/>
        <w:jc w:val="both"/>
        <w:rPr>
          <w:rStyle w:val="16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>
      <w:pPr>
        <w:widowControl w:val="0"/>
        <w:suppressAutoHyphens/>
        <w:spacing w:after="0" w:line="240" w:lineRule="auto"/>
        <w:rPr>
          <w:rFonts w:ascii="Times New Roman" w:hAnsi="Times New Roman" w:eastAsia="Andale Sans UI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hAnsi="Times New Roman" w:eastAsia="Andale Sans UI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 Олександр КОДОЛА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відділу з питань організації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діяльності міської ради та її </w:t>
      </w:r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                                                                   Оксана ДОЛЯ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43499"/>
    <w:multiLevelType w:val="multilevel"/>
    <w:tmpl w:val="06D4349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E0702"/>
    <w:multiLevelType w:val="multilevel"/>
    <w:tmpl w:val="678E070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5306B"/>
    <w:multiLevelType w:val="multilevel"/>
    <w:tmpl w:val="7325306B"/>
    <w:lvl w:ilvl="0" w:tentative="0">
      <w:start w:val="67"/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EastAsia"/>
      </w:rPr>
    </w:lvl>
    <w:lvl w:ilvl="1" w:tentative="0">
      <w:start w:val="1"/>
      <w:numFmt w:val="bullet"/>
      <w:lvlText w:val="o"/>
      <w:lvlJc w:val="left"/>
      <w:pPr>
        <w:ind w:left="5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7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4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1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8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580" w:hanging="360"/>
      </w:pPr>
      <w:rPr>
        <w:rFonts w:hint="default" w:ascii="Wingdings" w:hAnsi="Wingdings"/>
      </w:rPr>
    </w:lvl>
  </w:abstractNum>
  <w:abstractNum w:abstractNumId="3">
    <w:nsid w:val="79E34CC6"/>
    <w:multiLevelType w:val="multilevel"/>
    <w:tmpl w:val="79E34CC6"/>
    <w:lvl w:ilvl="0" w:tentative="0">
      <w:start w:val="0"/>
      <w:numFmt w:val="bullet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D1A60"/>
    <w:rsid w:val="000257DB"/>
    <w:rsid w:val="0003045B"/>
    <w:rsid w:val="00033BE7"/>
    <w:rsid w:val="00052CF8"/>
    <w:rsid w:val="00055467"/>
    <w:rsid w:val="00073045"/>
    <w:rsid w:val="0007770B"/>
    <w:rsid w:val="0009172C"/>
    <w:rsid w:val="00096AE9"/>
    <w:rsid w:val="000A058F"/>
    <w:rsid w:val="000C0CE8"/>
    <w:rsid w:val="0010726B"/>
    <w:rsid w:val="001273A6"/>
    <w:rsid w:val="00167444"/>
    <w:rsid w:val="001740EA"/>
    <w:rsid w:val="001A4CFE"/>
    <w:rsid w:val="001C6B11"/>
    <w:rsid w:val="001D4B37"/>
    <w:rsid w:val="001F6421"/>
    <w:rsid w:val="00206367"/>
    <w:rsid w:val="00234F22"/>
    <w:rsid w:val="00252D06"/>
    <w:rsid w:val="00263DC3"/>
    <w:rsid w:val="002B17B7"/>
    <w:rsid w:val="002D57B2"/>
    <w:rsid w:val="00305B2E"/>
    <w:rsid w:val="00316952"/>
    <w:rsid w:val="00362136"/>
    <w:rsid w:val="003B6957"/>
    <w:rsid w:val="003C4764"/>
    <w:rsid w:val="003C4B6A"/>
    <w:rsid w:val="003E18F5"/>
    <w:rsid w:val="004004BD"/>
    <w:rsid w:val="00426598"/>
    <w:rsid w:val="004323E6"/>
    <w:rsid w:val="004569A7"/>
    <w:rsid w:val="004814DE"/>
    <w:rsid w:val="00495AB6"/>
    <w:rsid w:val="004B3FB6"/>
    <w:rsid w:val="004F70C4"/>
    <w:rsid w:val="00563157"/>
    <w:rsid w:val="005A0239"/>
    <w:rsid w:val="005F3191"/>
    <w:rsid w:val="005F57A4"/>
    <w:rsid w:val="00602FA6"/>
    <w:rsid w:val="00633786"/>
    <w:rsid w:val="00661AC0"/>
    <w:rsid w:val="00664483"/>
    <w:rsid w:val="0067619E"/>
    <w:rsid w:val="00676898"/>
    <w:rsid w:val="00677F6B"/>
    <w:rsid w:val="0070742D"/>
    <w:rsid w:val="00742A6A"/>
    <w:rsid w:val="00753674"/>
    <w:rsid w:val="007B16CE"/>
    <w:rsid w:val="007B3D97"/>
    <w:rsid w:val="007E3413"/>
    <w:rsid w:val="007F7A2D"/>
    <w:rsid w:val="00826D80"/>
    <w:rsid w:val="008604F1"/>
    <w:rsid w:val="008721E7"/>
    <w:rsid w:val="008C6E5D"/>
    <w:rsid w:val="008E5141"/>
    <w:rsid w:val="008E5903"/>
    <w:rsid w:val="008F73F0"/>
    <w:rsid w:val="0095048D"/>
    <w:rsid w:val="00964683"/>
    <w:rsid w:val="00964D58"/>
    <w:rsid w:val="00970DE6"/>
    <w:rsid w:val="00971931"/>
    <w:rsid w:val="00993839"/>
    <w:rsid w:val="009D2846"/>
    <w:rsid w:val="00A02A77"/>
    <w:rsid w:val="00A42589"/>
    <w:rsid w:val="00A82849"/>
    <w:rsid w:val="00A85CDF"/>
    <w:rsid w:val="00AE194F"/>
    <w:rsid w:val="00B24FB6"/>
    <w:rsid w:val="00B27C11"/>
    <w:rsid w:val="00B525B0"/>
    <w:rsid w:val="00B544AE"/>
    <w:rsid w:val="00B640AC"/>
    <w:rsid w:val="00BA4844"/>
    <w:rsid w:val="00BA4B36"/>
    <w:rsid w:val="00C26E58"/>
    <w:rsid w:val="00C44FBE"/>
    <w:rsid w:val="00C91DDD"/>
    <w:rsid w:val="00CB3511"/>
    <w:rsid w:val="00CB38FB"/>
    <w:rsid w:val="00CE0351"/>
    <w:rsid w:val="00CE46E1"/>
    <w:rsid w:val="00D36E21"/>
    <w:rsid w:val="00DB1D57"/>
    <w:rsid w:val="00DB7799"/>
    <w:rsid w:val="00DC07A2"/>
    <w:rsid w:val="00DC6854"/>
    <w:rsid w:val="00DD1A60"/>
    <w:rsid w:val="00DD54DC"/>
    <w:rsid w:val="00DE7866"/>
    <w:rsid w:val="00DF4785"/>
    <w:rsid w:val="00DF7BCA"/>
    <w:rsid w:val="00E20A42"/>
    <w:rsid w:val="00E256CC"/>
    <w:rsid w:val="00E36DA2"/>
    <w:rsid w:val="00E41534"/>
    <w:rsid w:val="00E4394C"/>
    <w:rsid w:val="00E954B0"/>
    <w:rsid w:val="00E96D23"/>
    <w:rsid w:val="00EB22AF"/>
    <w:rsid w:val="00EB48B9"/>
    <w:rsid w:val="00EC6102"/>
    <w:rsid w:val="00F30D56"/>
    <w:rsid w:val="00F628E8"/>
    <w:rsid w:val="21740017"/>
    <w:rsid w:val="4709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 Indent"/>
    <w:basedOn w:val="1"/>
    <w:link w:val="10"/>
    <w:semiHidden/>
    <w:unhideWhenUsed/>
    <w:uiPriority w:val="99"/>
    <w:pPr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0">
    <w:name w:val="Основной текст с отступом Знак"/>
    <w:basedOn w:val="3"/>
    <w:link w:val="7"/>
    <w:semiHidden/>
    <w:qFormat/>
    <w:uiPriority w:val="99"/>
    <w:rPr>
      <w:rFonts w:ascii="Times New Roman" w:hAnsi="Times New Roman" w:eastAsia="Times New Roman" w:cs="Times New Roman"/>
      <w:sz w:val="24"/>
      <w:szCs w:val="24"/>
      <w:lang w:val="uk-UA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1840"/>
    <w:uiPriority w:val="0"/>
    <w:rPr>
      <w:rFonts w:hint="default" w:ascii="Times New Roman" w:hAnsi="Times New Roman" w:cs="Times New Roman"/>
    </w:rPr>
  </w:style>
  <w:style w:type="character" w:customStyle="1" w:styleId="14">
    <w:name w:val="rvts7"/>
    <w:basedOn w:val="3"/>
    <w:qFormat/>
    <w:uiPriority w:val="0"/>
  </w:style>
  <w:style w:type="character" w:customStyle="1" w:styleId="15">
    <w:name w:val="rvts45"/>
    <w:basedOn w:val="3"/>
    <w:qFormat/>
    <w:uiPriority w:val="0"/>
  </w:style>
  <w:style w:type="character" w:customStyle="1" w:styleId="16">
    <w:name w:val="docdata"/>
    <w:basedOn w:val="3"/>
    <w:qFormat/>
    <w:uiPriority w:val="0"/>
  </w:style>
  <w:style w:type="character" w:customStyle="1" w:styleId="17">
    <w:name w:val="fs2"/>
    <w:basedOn w:val="3"/>
    <w:qFormat/>
    <w:uiPriority w:val="0"/>
  </w:style>
  <w:style w:type="character" w:customStyle="1" w:styleId="18">
    <w:name w:val="Основний текст (4)_"/>
    <w:basedOn w:val="3"/>
    <w:link w:val="19"/>
    <w:qFormat/>
    <w:uiPriority w:val="0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19">
    <w:name w:val="Основний текст (4)"/>
    <w:basedOn w:val="1"/>
    <w:link w:val="18"/>
    <w:qFormat/>
    <w:uiPriority w:val="0"/>
    <w:pPr>
      <w:widowControl w:val="0"/>
      <w:shd w:val="clear" w:color="auto" w:fill="FFFFFF"/>
      <w:spacing w:before="900" w:after="240" w:line="322" w:lineRule="exact"/>
      <w:jc w:val="both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customStyle="1" w:styleId="20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21">
    <w:name w:val="Основной текст_"/>
    <w:link w:val="22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2">
    <w:name w:val="Основной текст2"/>
    <w:basedOn w:val="1"/>
    <w:link w:val="21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1579</Words>
  <Characters>9005</Characters>
  <Lines>75</Lines>
  <Paragraphs>21</Paragraphs>
  <TotalTime>1020</TotalTime>
  <ScaleCrop>false</ScaleCrop>
  <LinksUpToDate>false</LinksUpToDate>
  <CharactersWithSpaces>10563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2021-12-02T09:07:00Z</dcterms:created>
  <dc:creator>Пользователь</dc:creator>
  <cp:lastModifiedBy>VNMR</cp:lastModifiedBy>
  <cp:lastPrinted>2022-02-10T14:18:00Z</cp:lastPrinted>
  <dcterms:modified xsi:type="dcterms:W3CDTF">2022-02-17T10:46:50Z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8F66A52E110C4F118E0E2B6DE8B53772</vt:lpwstr>
  </property>
</Properties>
</file>