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8F" w:rsidRDefault="001262DE" w:rsidP="008437E8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uk-UA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</w:t>
      </w:r>
      <w:r w:rsidR="00CD3A55">
        <w:rPr>
          <w:rFonts w:eastAsia="Times New Roman" w:cs="Times New Roman"/>
          <w:b/>
          <w:noProof/>
          <w:sz w:val="24"/>
          <w:szCs w:val="24"/>
          <w:lang w:val="uk-UA" w:eastAsia="uk-UA"/>
        </w:rPr>
        <w:tab/>
        <w:t xml:space="preserve">        </w:t>
      </w:r>
      <w:r w:rsidR="00CD574B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</w:t>
      </w:r>
    </w:p>
    <w:p w:rsidR="00CD574B" w:rsidRDefault="00A74C8F" w:rsidP="008437E8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uk-UA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CD574B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</w:t>
      </w:r>
      <w:r w:rsidR="005E6757">
        <w:rPr>
          <w:rFonts w:eastAsia="Times New Roman" w:cs="Times New Roman"/>
          <w:b/>
          <w:noProof/>
          <w:sz w:val="24"/>
          <w:szCs w:val="24"/>
          <w:lang w:val="uk-UA" w:eastAsia="uk-UA"/>
        </w:rPr>
        <w:t>Проект</w:t>
      </w:r>
      <w:r w:rsidR="00CD574B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</w:t>
      </w: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№909 від 21.02.2022</w:t>
      </w:r>
    </w:p>
    <w:p w:rsidR="00372FC4" w:rsidRPr="00372FC4" w:rsidRDefault="00CD3A55" w:rsidP="00372FC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372FC4"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</w:t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AC56E6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7877" w:rsidRPr="008437E8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6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5E6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5E6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5E6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__________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0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E67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25787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E31F8" w:rsidRPr="00A300BB" w:rsidRDefault="00EB2B5D" w:rsidP="00A300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1727938"/>
      <w:bookmarkStart w:id="2" w:name="_Hlk71897939"/>
      <w:bookmarkStart w:id="3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</w:t>
      </w:r>
      <w:r w:rsidR="00A52D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bookmarkEnd w:id="2"/>
      <w:r w:rsidR="00A300BB" w:rsidRPr="00A30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300BB" w:rsidRPr="00A300BB">
        <w:rPr>
          <w:rFonts w:ascii="Times New Roman" w:hAnsi="Times New Roman" w:cs="Times New Roman"/>
          <w:sz w:val="28"/>
          <w:szCs w:val="28"/>
          <w:lang w:val="uk-UA"/>
        </w:rPr>
        <w:t>Ніжинська міська рада вирішила:</w:t>
      </w:r>
    </w:p>
    <w:p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280F" w:rsidRDefault="00433A50" w:rsidP="00433A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71727225"/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F5880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5" w:name="_Hlk71896070"/>
      <w:bookmarkStart w:id="6" w:name="_Hlk71809576"/>
      <w:r w:rsidR="007F5880" w:rsidRPr="00433A50">
        <w:rPr>
          <w:sz w:val="28"/>
          <w:szCs w:val="28"/>
          <w:lang w:val="uk-UA"/>
        </w:rPr>
        <w:t xml:space="preserve"> </w:t>
      </w:r>
      <w:bookmarkStart w:id="7" w:name="_Hlk72160986"/>
      <w:bookmarkEnd w:id="5"/>
      <w:bookmarkEnd w:id="6"/>
      <w:r w:rsidR="00742A0E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433A50">
        <w:rPr>
          <w:sz w:val="28"/>
          <w:szCs w:val="28"/>
          <w:lang w:val="uk-UA"/>
        </w:rPr>
        <w:t xml:space="preserve"> </w:t>
      </w:r>
      <w:r w:rsidR="00742A0E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433A50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 w:rsidRPr="00433A50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456E72" w:rsidRPr="00433A50">
        <w:rPr>
          <w:rFonts w:ascii="Times New Roman" w:hAnsi="Times New Roman" w:cs="Times New Roman"/>
          <w:sz w:val="28"/>
          <w:lang w:val="uk-UA"/>
        </w:rPr>
        <w:t xml:space="preserve"> </w:t>
      </w:r>
      <w:r w:rsidR="007F5880" w:rsidRPr="00433A50">
        <w:rPr>
          <w:rFonts w:ascii="Times New Roman" w:hAnsi="Times New Roman" w:cs="Times New Roman"/>
          <w:sz w:val="28"/>
          <w:lang w:val="uk-UA"/>
        </w:rPr>
        <w:t>на баланс</w:t>
      </w:r>
      <w:r w:rsidR="00057EBD" w:rsidRPr="00433A50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7F5880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71803218"/>
      <w:bookmarkStart w:id="9" w:name="_Hlk71802705"/>
      <w:bookmarkEnd w:id="7"/>
      <w:r w:rsidR="004B7809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«Оренда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433A50" w:rsidRPr="00433A50" w:rsidRDefault="00433A50" w:rsidP="00433A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559"/>
        <w:gridCol w:w="850"/>
        <w:gridCol w:w="709"/>
        <w:gridCol w:w="851"/>
        <w:gridCol w:w="1275"/>
        <w:gridCol w:w="3119"/>
      </w:tblGrid>
      <w:tr w:rsidR="00B9723B" w:rsidRPr="00553876" w:rsidTr="00B9723B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67" w:type="dxa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9723B" w:rsidRPr="00553876" w:rsidTr="00B9723B">
        <w:trPr>
          <w:trHeight w:val="456"/>
        </w:trPr>
        <w:tc>
          <w:tcPr>
            <w:tcW w:w="426" w:type="dxa"/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</w:tcPr>
          <w:p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23B" w:rsidRPr="00586093" w:rsidRDefault="00B9723B" w:rsidP="005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Торговий дерев'яний кіоск 2,36 х 2,36 м.</w:t>
            </w:r>
          </w:p>
          <w:p w:rsidR="00B9723B" w:rsidRPr="00553876" w:rsidRDefault="00B9723B" w:rsidP="00D837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D837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34 000,00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238 000,00</w:t>
            </w:r>
          </w:p>
        </w:tc>
      </w:tr>
      <w:tr w:rsidR="00B9723B" w:rsidRPr="00862F43" w:rsidTr="00B9723B">
        <w:trPr>
          <w:trHeight w:val="456"/>
        </w:trPr>
        <w:tc>
          <w:tcPr>
            <w:tcW w:w="426" w:type="dxa"/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34 000,00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238 000,00</w:t>
            </w:r>
          </w:p>
        </w:tc>
      </w:tr>
    </w:tbl>
    <w:p w:rsidR="004F54EA" w:rsidRDefault="004F54EA" w:rsidP="00433A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404FD" w:rsidRDefault="00C404FD" w:rsidP="00C168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r w:rsidR="00C16806" w:rsidRPr="00433A50">
        <w:rPr>
          <w:sz w:val="28"/>
          <w:szCs w:val="28"/>
          <w:lang w:val="uk-UA"/>
        </w:rPr>
        <w:t xml:space="preserve">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16806" w:rsidRPr="00433A50">
        <w:rPr>
          <w:sz w:val="28"/>
          <w:szCs w:val="28"/>
          <w:lang w:val="uk-UA"/>
        </w:rPr>
        <w:t xml:space="preserve">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168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C16806" w:rsidRPr="00433A50">
        <w:rPr>
          <w:rFonts w:ascii="Times New Roman" w:hAnsi="Times New Roman" w:cs="Times New Roman"/>
          <w:sz w:val="28"/>
          <w:lang w:val="uk-UA"/>
        </w:rPr>
        <w:t xml:space="preserve">та безоплатно передати майно на балансовий облік </w:t>
      </w:r>
      <w:r w:rsidR="00C168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="00D1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мунальному підприєм</w:t>
      </w:r>
      <w:r w:rsidR="00E66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1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тву</w:t>
      </w:r>
      <w:r w:rsidR="002B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</w:t>
      </w:r>
      <w:r w:rsidR="002B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господарства»</w:t>
      </w:r>
      <w:r w:rsidR="00C16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16806" w:rsidRDefault="00C16806" w:rsidP="00E859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843"/>
        <w:gridCol w:w="850"/>
        <w:gridCol w:w="709"/>
        <w:gridCol w:w="850"/>
        <w:gridCol w:w="1276"/>
        <w:gridCol w:w="2835"/>
      </w:tblGrid>
      <w:tr w:rsidR="00B9723B" w:rsidRPr="00553876" w:rsidTr="00B9723B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425" w:type="dxa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9723B" w:rsidRPr="00553876" w:rsidTr="00B9723B">
        <w:trPr>
          <w:trHeight w:val="456"/>
        </w:trPr>
        <w:tc>
          <w:tcPr>
            <w:tcW w:w="426" w:type="dxa"/>
            <w:shd w:val="clear" w:color="auto" w:fill="auto"/>
          </w:tcPr>
          <w:p w:rsidR="00B9723B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" w:type="dxa"/>
          </w:tcPr>
          <w:p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23B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Мобільна сцена для виступів "Зелена сцена" </w:t>
            </w:r>
          </w:p>
          <w:p w:rsidR="00B9723B" w:rsidRPr="00C16806" w:rsidRDefault="00B9723B" w:rsidP="00E859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9723B" w:rsidRPr="00C16806" w:rsidRDefault="00B9723B" w:rsidP="00E859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C16806" w:rsidRDefault="00B9723B" w:rsidP="00E859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680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288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B97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88 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000,00</w:t>
            </w:r>
          </w:p>
        </w:tc>
      </w:tr>
      <w:tr w:rsidR="00B9723B" w:rsidRPr="00862F43" w:rsidTr="00B9723B">
        <w:trPr>
          <w:trHeight w:val="456"/>
        </w:trPr>
        <w:tc>
          <w:tcPr>
            <w:tcW w:w="426" w:type="dxa"/>
            <w:shd w:val="clear" w:color="auto" w:fill="auto"/>
          </w:tcPr>
          <w:p w:rsidR="00B9723B" w:rsidRPr="00553876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9723B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9723B" w:rsidRPr="00C16806" w:rsidRDefault="00B9723B" w:rsidP="00E8597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9723B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9723B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B9723B" w:rsidRPr="00553876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7E21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288000,00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88 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000,00</w:t>
            </w:r>
          </w:p>
        </w:tc>
      </w:tr>
    </w:tbl>
    <w:p w:rsidR="002F1310" w:rsidRDefault="002F1310" w:rsidP="007C3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326436" w:rsidRDefault="00326436" w:rsidP="007C3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136D3" w:rsidRDefault="007E2183" w:rsidP="00C136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C136D3">
        <w:rPr>
          <w:rFonts w:ascii="Times New Roman" w:hAnsi="Times New Roman" w:cs="Times New Roman"/>
          <w:sz w:val="28"/>
          <w:lang w:val="uk-UA"/>
        </w:rPr>
        <w:t xml:space="preserve">. </w:t>
      </w:r>
      <w:r w:rsidR="00C136D3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r w:rsidR="00C136D3" w:rsidRPr="00433A50">
        <w:rPr>
          <w:sz w:val="28"/>
          <w:szCs w:val="28"/>
          <w:lang w:val="uk-UA"/>
        </w:rPr>
        <w:t xml:space="preserve"> </w:t>
      </w:r>
      <w:r w:rsidR="00C136D3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136D3" w:rsidRPr="00433A50">
        <w:rPr>
          <w:sz w:val="28"/>
          <w:szCs w:val="28"/>
          <w:lang w:val="uk-UA"/>
        </w:rPr>
        <w:t xml:space="preserve"> </w:t>
      </w:r>
      <w:r w:rsidR="00C136D3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136D3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C136D3" w:rsidRPr="00433A50">
        <w:rPr>
          <w:rFonts w:ascii="Times New Roman" w:hAnsi="Times New Roman" w:cs="Times New Roman"/>
          <w:sz w:val="28"/>
          <w:lang w:val="uk-UA"/>
        </w:rPr>
        <w:t xml:space="preserve">та безоплатно передати майно на балансовий облік </w:t>
      </w:r>
      <w:r w:rsidR="00C136D3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B6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правлінню житлово-комунального господарства та будівництва</w:t>
      </w:r>
      <w:r w:rsidR="00C13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136D3" w:rsidRDefault="00C136D3" w:rsidP="00C136D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18"/>
        <w:gridCol w:w="1275"/>
        <w:gridCol w:w="851"/>
        <w:gridCol w:w="992"/>
        <w:gridCol w:w="992"/>
        <w:gridCol w:w="2410"/>
      </w:tblGrid>
      <w:tr w:rsidR="00B9723B" w:rsidRPr="00553876" w:rsidTr="00B9723B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850" w:type="dxa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9723B" w:rsidRPr="00553876" w:rsidTr="00B9723B">
        <w:trPr>
          <w:trHeight w:val="456"/>
        </w:trPr>
        <w:tc>
          <w:tcPr>
            <w:tcW w:w="426" w:type="dxa"/>
            <w:shd w:val="clear" w:color="auto" w:fill="auto"/>
          </w:tcPr>
          <w:p w:rsidR="00B9723B" w:rsidRPr="00553876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23B" w:rsidRPr="00EF4553" w:rsidRDefault="00B9723B" w:rsidP="000F7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F4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Вулична урна чавунна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0F7D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5400,00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16200,00</w:t>
            </w:r>
          </w:p>
        </w:tc>
      </w:tr>
      <w:tr w:rsidR="00B9723B" w:rsidRPr="00862F43" w:rsidTr="00B9723B">
        <w:trPr>
          <w:trHeight w:val="456"/>
        </w:trPr>
        <w:tc>
          <w:tcPr>
            <w:tcW w:w="426" w:type="dxa"/>
            <w:shd w:val="clear" w:color="auto" w:fill="auto"/>
          </w:tcPr>
          <w:p w:rsidR="00B9723B" w:rsidRPr="00553876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B9723B" w:rsidRPr="00EF4553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5400,00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9723B" w:rsidRPr="00EF4553" w:rsidRDefault="00B9723B" w:rsidP="00B97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16200,00</w:t>
            </w:r>
          </w:p>
        </w:tc>
      </w:tr>
    </w:tbl>
    <w:p w:rsidR="008711E5" w:rsidRDefault="008711E5" w:rsidP="008D3B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4"/>
    <w:bookmarkEnd w:id="8"/>
    <w:bookmarkEnd w:id="9"/>
    <w:p w:rsidR="00A25E3E" w:rsidRPr="0080636A" w:rsidRDefault="00F4201C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C6431" w:rsidRP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7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«Оренда комунального майна»</w:t>
      </w:r>
      <w:r w:rsidR="001B6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10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3B3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правлінню житлово-комунального господарства та будівництва</w:t>
      </w:r>
      <w:r w:rsidR="007B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комунальному підприємству «Виробниче управління комунального господарства»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D50BB6" w:rsidRDefault="00F4201C" w:rsidP="00CC6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E92302" w:rsidRP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302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:rsidR="006F7359" w:rsidRPr="003A60EE" w:rsidRDefault="00CA252C" w:rsidP="00C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:rsidR="003A60EE" w:rsidRDefault="00F4201C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:rsidR="00CA252C" w:rsidRPr="00764E18" w:rsidRDefault="00372FC4" w:rsidP="00372F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4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бюджету та фінансів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3"/>
    <w:p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424739" w:rsidRDefault="0042473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E22B4" w:rsidRDefault="00FE22B4" w:rsidP="00903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03286" w:rsidRDefault="00FD4CEC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Подає</w:t>
      </w:r>
      <w:r w:rsidR="00903286"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:rsidR="00ED528B" w:rsidRPr="00903286" w:rsidRDefault="00ED528B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D189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:rsidR="0090328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:rsidR="00FD4CEC" w:rsidRDefault="00FD4CEC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D4CEC" w:rsidRPr="00FD4CEC" w:rsidRDefault="00FD4CEC" w:rsidP="00FD4C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Погоджують</w:t>
      </w: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:rsidR="004D1896" w:rsidRPr="00903286" w:rsidRDefault="004D189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Наталія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ЄФІМЕНКО</w:t>
      </w:r>
    </w:p>
    <w:p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2C7CCB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Юрій</w:t>
      </w:r>
      <w:r w:rsidR="00903286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ХОМЕНКО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 виконавчих органів ради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Федір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ВОВЧЕНКО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фінансового управління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Людмила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ПИСАРЕНКО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но-кадрового забезпечення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В’ячеслав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ЛЕГА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МАМЕДОВ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Валерій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САЛОГУБ</w:t>
      </w:r>
    </w:p>
    <w:p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Default="00B76FE0" w:rsidP="00903286">
      <w:pPr>
        <w:pStyle w:val="a8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Директор КП «Оренда комунального майна»                     Оксана ШУМЕЙКО</w:t>
      </w:r>
    </w:p>
    <w:p w:rsidR="00A506CA" w:rsidRDefault="00A506CA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A506CA" w:rsidRDefault="00A506CA" w:rsidP="00903286">
      <w:pPr>
        <w:pStyle w:val="a8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Начальник управління комунального майна  </w:t>
      </w:r>
    </w:p>
    <w:p w:rsidR="00A506CA" w:rsidRPr="00903286" w:rsidRDefault="004244E8" w:rsidP="00903286">
      <w:pPr>
        <w:pStyle w:val="a8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т</w:t>
      </w:r>
      <w:r w:rsidR="00A506CA">
        <w:rPr>
          <w:color w:val="000000" w:themeColor="text1"/>
          <w:sz w:val="28"/>
          <w:szCs w:val="28"/>
          <w:lang w:eastAsia="ru-RU"/>
        </w:rPr>
        <w:t>а земельних відносин                                                               Ірина ОНОКАЛО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95539" w:rsidRDefault="00A95539" w:rsidP="004247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 КП «Виробниче управління </w:t>
      </w:r>
    </w:p>
    <w:p w:rsidR="00424739" w:rsidRDefault="00A95539" w:rsidP="00A955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комунального господартсва»                                                 Володимир ШПАК</w:t>
      </w:r>
    </w:p>
    <w:p w:rsidR="00A95539" w:rsidRDefault="00A95539" w:rsidP="004247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32892" w:rsidRDefault="00424739" w:rsidP="004247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 управління житлово-</w:t>
      </w:r>
    </w:p>
    <w:p w:rsidR="00332892" w:rsidRDefault="00332892" w:rsidP="00DE0E87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4247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омунального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247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господарства </w:t>
      </w:r>
    </w:p>
    <w:p w:rsidR="00354963" w:rsidRDefault="00424739" w:rsidP="00DE0E87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 будівництва                                    </w:t>
      </w:r>
      <w:r w:rsidR="003328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Анатолій КУШНІРЕНКО</w:t>
      </w:r>
    </w:p>
    <w:p w:rsidR="00DE0E87" w:rsidRPr="00DE0E87" w:rsidRDefault="00DE0E87" w:rsidP="00DE0E87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Pr="00A00576" w:rsidRDefault="00354963" w:rsidP="00A00576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zh-CN"/>
        </w:rPr>
      </w:pPr>
      <w:r w:rsidRPr="00A341F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              </w:t>
      </w:r>
      <w:r w:rsidR="007534F5"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:rsidR="007534F5" w:rsidRPr="008542E3" w:rsidRDefault="007534F5" w:rsidP="007534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до проекту рішення</w:t>
      </w:r>
      <w:r w:rsidR="005157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</w:t>
      </w:r>
    </w:p>
    <w:p w:rsidR="007534F5" w:rsidRPr="008542E3" w:rsidRDefault="007534F5" w:rsidP="007534F5">
      <w:pPr>
        <w:tabs>
          <w:tab w:val="left" w:pos="6480"/>
          <w:tab w:val="left" w:pos="6690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</w:pPr>
    </w:p>
    <w:p w:rsidR="007534F5" w:rsidRDefault="007534F5" w:rsidP="00854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542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передачу на балансовий облік </w:t>
      </w:r>
      <w:r w:rsidRPr="008542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майна»</w:t>
      </w:r>
    </w:p>
    <w:p w:rsidR="0013319A" w:rsidRPr="008542E3" w:rsidRDefault="0013319A" w:rsidP="008542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34F5" w:rsidRPr="00AD7842" w:rsidRDefault="007534F5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="006F2F85"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баланс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</w:t>
      </w:r>
      <w:r w:rsidR="00354963" w:rsidRP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комітету Ніжинської міської ради </w:t>
      </w:r>
      <w:r w:rsidR="008E65F9">
        <w:rPr>
          <w:rFonts w:ascii="Times New Roman" w:hAnsi="Times New Roman" w:cs="Times New Roman"/>
          <w:bCs/>
          <w:sz w:val="26"/>
          <w:szCs w:val="26"/>
          <w:lang w:eastAsia="ru-RU"/>
        </w:rPr>
        <w:t>та передається на баланс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 xml:space="preserve"> КП «Оренда комунального майна», </w:t>
      </w:r>
      <w:r w:rsidR="00535ED7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Управлінню житлово-комунального господарства та будівництва, 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>КП «Виробниче управління комунального господарства»</w:t>
      </w:r>
      <w:r w:rsidR="00354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не передбачає збільшення обсягу фінансування на 202</w:t>
      </w:r>
      <w:r w:rsidR="00562D4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рік. 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ерев’яні </w:t>
      </w:r>
      <w:r w:rsidR="00C179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торгівельні 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>кіоски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79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мобільна 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>сцена</w:t>
      </w:r>
      <w:r w:rsidR="006271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виступів «Зелена сцена»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вуличні урни чавунні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були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>закуплені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коштом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>програми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«Децентралізація приносить кращі результати та ефективність»</w:t>
      </w:r>
      <w:r w:rsidR="00267CDE"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DOBRE</w:t>
      </w:r>
      <w:r w:rsidR="00267CDE"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3319A"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8542E3" w:rsidRPr="008542E3" w:rsidRDefault="008542E3" w:rsidP="004B4BD0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:rsidR="007534F5" w:rsidRPr="008542E3" w:rsidRDefault="008542E3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574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F2F8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 на баланс</w:t>
      </w:r>
      <w:r w:rsidR="006F2F8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 xml:space="preserve">КП «Оренда комунального майна», </w:t>
      </w:r>
      <w:r w:rsidR="00562D4C">
        <w:rPr>
          <w:rFonts w:ascii="Times New Roman" w:hAnsi="Times New Roman" w:cs="Times New Roman"/>
          <w:sz w:val="28"/>
          <w:szCs w:val="28"/>
          <w:lang w:eastAsia="ru-RU"/>
        </w:rPr>
        <w:t>Управлінню житлово-комунально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>го господарства та будівництва,</w:t>
      </w:r>
      <w:r w:rsidR="008E65F9" w:rsidRPr="008E65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>КП «Виробниче управління комунального господарства».</w:t>
      </w:r>
    </w:p>
    <w:p w:rsidR="006F2F85" w:rsidRPr="008542E3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3286" w:rsidRDefault="00903286" w:rsidP="00C17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A21" w:rsidRPr="00DA3A35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CCB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:rsidR="00694CCB" w:rsidRPr="004D1896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:rsidR="007534F5" w:rsidRDefault="007534F5" w:rsidP="00694C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534F5" w:rsidSect="00377DD6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E3" w:rsidRDefault="00BC16E3" w:rsidP="004F54EA">
      <w:pPr>
        <w:spacing w:after="0" w:line="240" w:lineRule="auto"/>
      </w:pPr>
      <w:r>
        <w:separator/>
      </w:r>
    </w:p>
  </w:endnote>
  <w:endnote w:type="continuationSeparator" w:id="0">
    <w:p w:rsidR="00BC16E3" w:rsidRDefault="00BC16E3" w:rsidP="004F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E3" w:rsidRDefault="00BC16E3" w:rsidP="004F54EA">
      <w:pPr>
        <w:spacing w:after="0" w:line="240" w:lineRule="auto"/>
      </w:pPr>
      <w:r>
        <w:separator/>
      </w:r>
    </w:p>
  </w:footnote>
  <w:footnote w:type="continuationSeparator" w:id="0">
    <w:p w:rsidR="00BC16E3" w:rsidRDefault="00BC16E3" w:rsidP="004F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46FD"/>
    <w:multiLevelType w:val="hybridMultilevel"/>
    <w:tmpl w:val="BB50832E"/>
    <w:lvl w:ilvl="0" w:tplc="99CA5A5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52C"/>
    <w:rsid w:val="00007DF0"/>
    <w:rsid w:val="00017B5B"/>
    <w:rsid w:val="00017ED4"/>
    <w:rsid w:val="0004391F"/>
    <w:rsid w:val="00057EBD"/>
    <w:rsid w:val="000652EA"/>
    <w:rsid w:val="00096603"/>
    <w:rsid w:val="000C0FD6"/>
    <w:rsid w:val="0012071F"/>
    <w:rsid w:val="001262DE"/>
    <w:rsid w:val="00126A45"/>
    <w:rsid w:val="00131760"/>
    <w:rsid w:val="0013319A"/>
    <w:rsid w:val="00134A4C"/>
    <w:rsid w:val="00162E6A"/>
    <w:rsid w:val="0016592C"/>
    <w:rsid w:val="00170F33"/>
    <w:rsid w:val="00183D3F"/>
    <w:rsid w:val="00187B4A"/>
    <w:rsid w:val="00190CDB"/>
    <w:rsid w:val="001A1E84"/>
    <w:rsid w:val="001B6EC5"/>
    <w:rsid w:val="001C384E"/>
    <w:rsid w:val="001F16D8"/>
    <w:rsid w:val="001F4794"/>
    <w:rsid w:val="001F55D7"/>
    <w:rsid w:val="00204920"/>
    <w:rsid w:val="00211A40"/>
    <w:rsid w:val="002130C2"/>
    <w:rsid w:val="00226DE7"/>
    <w:rsid w:val="00232CDA"/>
    <w:rsid w:val="00235036"/>
    <w:rsid w:val="00252867"/>
    <w:rsid w:val="00257877"/>
    <w:rsid w:val="002653AC"/>
    <w:rsid w:val="00265643"/>
    <w:rsid w:val="00267CDE"/>
    <w:rsid w:val="002701C0"/>
    <w:rsid w:val="00276ED0"/>
    <w:rsid w:val="00285B0C"/>
    <w:rsid w:val="002B3086"/>
    <w:rsid w:val="002B362F"/>
    <w:rsid w:val="002C67C7"/>
    <w:rsid w:val="002C7CCB"/>
    <w:rsid w:val="002D09E3"/>
    <w:rsid w:val="002E2D2F"/>
    <w:rsid w:val="002E7CCC"/>
    <w:rsid w:val="002E7E9C"/>
    <w:rsid w:val="002F1310"/>
    <w:rsid w:val="0030579A"/>
    <w:rsid w:val="0031020D"/>
    <w:rsid w:val="00326436"/>
    <w:rsid w:val="00332892"/>
    <w:rsid w:val="003353F8"/>
    <w:rsid w:val="00354963"/>
    <w:rsid w:val="003634FF"/>
    <w:rsid w:val="003725F6"/>
    <w:rsid w:val="00372FC4"/>
    <w:rsid w:val="00375926"/>
    <w:rsid w:val="00377DD6"/>
    <w:rsid w:val="00391131"/>
    <w:rsid w:val="00391A5F"/>
    <w:rsid w:val="0039608B"/>
    <w:rsid w:val="003A60EE"/>
    <w:rsid w:val="003B21F7"/>
    <w:rsid w:val="003B3D5E"/>
    <w:rsid w:val="003C49F0"/>
    <w:rsid w:val="003D0E80"/>
    <w:rsid w:val="003E3C60"/>
    <w:rsid w:val="003F3F34"/>
    <w:rsid w:val="003F6A22"/>
    <w:rsid w:val="00420151"/>
    <w:rsid w:val="004244E8"/>
    <w:rsid w:val="00424739"/>
    <w:rsid w:val="00431CEC"/>
    <w:rsid w:val="00433A50"/>
    <w:rsid w:val="00450D93"/>
    <w:rsid w:val="00456E72"/>
    <w:rsid w:val="00465DDA"/>
    <w:rsid w:val="00473196"/>
    <w:rsid w:val="00482C66"/>
    <w:rsid w:val="0048615B"/>
    <w:rsid w:val="00490C96"/>
    <w:rsid w:val="004A478D"/>
    <w:rsid w:val="004A7515"/>
    <w:rsid w:val="004B4BD0"/>
    <w:rsid w:val="004B7809"/>
    <w:rsid w:val="004C1E51"/>
    <w:rsid w:val="004C48C3"/>
    <w:rsid w:val="004D1896"/>
    <w:rsid w:val="004F54EA"/>
    <w:rsid w:val="004F58E3"/>
    <w:rsid w:val="004F6DFA"/>
    <w:rsid w:val="0051450F"/>
    <w:rsid w:val="0051574D"/>
    <w:rsid w:val="005264FB"/>
    <w:rsid w:val="00535ED7"/>
    <w:rsid w:val="005378AB"/>
    <w:rsid w:val="00546867"/>
    <w:rsid w:val="00553876"/>
    <w:rsid w:val="00562814"/>
    <w:rsid w:val="00562D4C"/>
    <w:rsid w:val="00586093"/>
    <w:rsid w:val="005A7470"/>
    <w:rsid w:val="005B0328"/>
    <w:rsid w:val="005B4EB3"/>
    <w:rsid w:val="005C114D"/>
    <w:rsid w:val="005D5EE3"/>
    <w:rsid w:val="005E6757"/>
    <w:rsid w:val="005F06B5"/>
    <w:rsid w:val="006271B1"/>
    <w:rsid w:val="006703D9"/>
    <w:rsid w:val="00672C06"/>
    <w:rsid w:val="00675ADB"/>
    <w:rsid w:val="006763D5"/>
    <w:rsid w:val="00677002"/>
    <w:rsid w:val="006778E1"/>
    <w:rsid w:val="00694CCB"/>
    <w:rsid w:val="006A4D5D"/>
    <w:rsid w:val="006A7BC0"/>
    <w:rsid w:val="006C3E1D"/>
    <w:rsid w:val="006C6490"/>
    <w:rsid w:val="006D0870"/>
    <w:rsid w:val="006D1B8A"/>
    <w:rsid w:val="006D62FF"/>
    <w:rsid w:val="006F2F85"/>
    <w:rsid w:val="006F4EB7"/>
    <w:rsid w:val="006F7359"/>
    <w:rsid w:val="007016F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91107"/>
    <w:rsid w:val="007B1B30"/>
    <w:rsid w:val="007C3A73"/>
    <w:rsid w:val="007E2183"/>
    <w:rsid w:val="007E3C2E"/>
    <w:rsid w:val="007F0186"/>
    <w:rsid w:val="007F0F56"/>
    <w:rsid w:val="007F5775"/>
    <w:rsid w:val="007F5880"/>
    <w:rsid w:val="008013A7"/>
    <w:rsid w:val="0080636A"/>
    <w:rsid w:val="00837F80"/>
    <w:rsid w:val="008437E8"/>
    <w:rsid w:val="008542E3"/>
    <w:rsid w:val="008556AF"/>
    <w:rsid w:val="008621DC"/>
    <w:rsid w:val="00862F43"/>
    <w:rsid w:val="0086690A"/>
    <w:rsid w:val="00866B61"/>
    <w:rsid w:val="008711E5"/>
    <w:rsid w:val="008C1CC2"/>
    <w:rsid w:val="008C703A"/>
    <w:rsid w:val="008C7E46"/>
    <w:rsid w:val="008D3B4D"/>
    <w:rsid w:val="008D3C4D"/>
    <w:rsid w:val="008E1320"/>
    <w:rsid w:val="008E1CD6"/>
    <w:rsid w:val="008E2FCE"/>
    <w:rsid w:val="008E31F8"/>
    <w:rsid w:val="008E65F9"/>
    <w:rsid w:val="008F73BB"/>
    <w:rsid w:val="00900AEE"/>
    <w:rsid w:val="00903286"/>
    <w:rsid w:val="00924DC1"/>
    <w:rsid w:val="009329F6"/>
    <w:rsid w:val="00934088"/>
    <w:rsid w:val="00950013"/>
    <w:rsid w:val="00961176"/>
    <w:rsid w:val="009634CC"/>
    <w:rsid w:val="00974101"/>
    <w:rsid w:val="00980D5D"/>
    <w:rsid w:val="00985107"/>
    <w:rsid w:val="009B5D69"/>
    <w:rsid w:val="009D3EB0"/>
    <w:rsid w:val="009D4D13"/>
    <w:rsid w:val="009E3E97"/>
    <w:rsid w:val="009F4190"/>
    <w:rsid w:val="00A00576"/>
    <w:rsid w:val="00A17208"/>
    <w:rsid w:val="00A25E3E"/>
    <w:rsid w:val="00A300BB"/>
    <w:rsid w:val="00A341FC"/>
    <w:rsid w:val="00A506CA"/>
    <w:rsid w:val="00A52D2C"/>
    <w:rsid w:val="00A74C8F"/>
    <w:rsid w:val="00A82101"/>
    <w:rsid w:val="00A95539"/>
    <w:rsid w:val="00AA7BB4"/>
    <w:rsid w:val="00AC56E6"/>
    <w:rsid w:val="00AD37BB"/>
    <w:rsid w:val="00AD7842"/>
    <w:rsid w:val="00AF4AB0"/>
    <w:rsid w:val="00AF5A21"/>
    <w:rsid w:val="00B002AD"/>
    <w:rsid w:val="00B10F5B"/>
    <w:rsid w:val="00B442DB"/>
    <w:rsid w:val="00B52B2A"/>
    <w:rsid w:val="00B54C4D"/>
    <w:rsid w:val="00B56B39"/>
    <w:rsid w:val="00B620B5"/>
    <w:rsid w:val="00B66715"/>
    <w:rsid w:val="00B67B5A"/>
    <w:rsid w:val="00B76FE0"/>
    <w:rsid w:val="00B934E8"/>
    <w:rsid w:val="00B9723B"/>
    <w:rsid w:val="00BA0DB2"/>
    <w:rsid w:val="00BA4528"/>
    <w:rsid w:val="00BB7B0E"/>
    <w:rsid w:val="00BC16E3"/>
    <w:rsid w:val="00BC2576"/>
    <w:rsid w:val="00BC7972"/>
    <w:rsid w:val="00BD1164"/>
    <w:rsid w:val="00BD1213"/>
    <w:rsid w:val="00BD75ED"/>
    <w:rsid w:val="00BE1558"/>
    <w:rsid w:val="00BE4BD4"/>
    <w:rsid w:val="00BE7D23"/>
    <w:rsid w:val="00BF4DBC"/>
    <w:rsid w:val="00BF5A6B"/>
    <w:rsid w:val="00C136D3"/>
    <w:rsid w:val="00C16806"/>
    <w:rsid w:val="00C179AA"/>
    <w:rsid w:val="00C2250E"/>
    <w:rsid w:val="00C404FD"/>
    <w:rsid w:val="00C53278"/>
    <w:rsid w:val="00C63004"/>
    <w:rsid w:val="00C671A8"/>
    <w:rsid w:val="00C7522B"/>
    <w:rsid w:val="00C76FA4"/>
    <w:rsid w:val="00C80878"/>
    <w:rsid w:val="00C81C84"/>
    <w:rsid w:val="00C8539A"/>
    <w:rsid w:val="00CA125D"/>
    <w:rsid w:val="00CA252C"/>
    <w:rsid w:val="00CA78E5"/>
    <w:rsid w:val="00CB20B0"/>
    <w:rsid w:val="00CC6431"/>
    <w:rsid w:val="00CD04FA"/>
    <w:rsid w:val="00CD1A6A"/>
    <w:rsid w:val="00CD3A55"/>
    <w:rsid w:val="00CD574B"/>
    <w:rsid w:val="00CF3F00"/>
    <w:rsid w:val="00D15BC2"/>
    <w:rsid w:val="00D26550"/>
    <w:rsid w:val="00D30BC5"/>
    <w:rsid w:val="00D32A78"/>
    <w:rsid w:val="00D375AF"/>
    <w:rsid w:val="00D43B69"/>
    <w:rsid w:val="00D45FE3"/>
    <w:rsid w:val="00D50BB6"/>
    <w:rsid w:val="00D51905"/>
    <w:rsid w:val="00D84C00"/>
    <w:rsid w:val="00D8791E"/>
    <w:rsid w:val="00DA3A35"/>
    <w:rsid w:val="00DA556A"/>
    <w:rsid w:val="00DC25D3"/>
    <w:rsid w:val="00DC2B9F"/>
    <w:rsid w:val="00DC735D"/>
    <w:rsid w:val="00DE0E87"/>
    <w:rsid w:val="00DE254B"/>
    <w:rsid w:val="00DE368D"/>
    <w:rsid w:val="00E0761C"/>
    <w:rsid w:val="00E2265D"/>
    <w:rsid w:val="00E60FD5"/>
    <w:rsid w:val="00E66FCC"/>
    <w:rsid w:val="00E73667"/>
    <w:rsid w:val="00E81373"/>
    <w:rsid w:val="00E8597F"/>
    <w:rsid w:val="00E861CC"/>
    <w:rsid w:val="00E92302"/>
    <w:rsid w:val="00E94BCB"/>
    <w:rsid w:val="00EB2B5D"/>
    <w:rsid w:val="00EC6C02"/>
    <w:rsid w:val="00EC7167"/>
    <w:rsid w:val="00ED528B"/>
    <w:rsid w:val="00EE7059"/>
    <w:rsid w:val="00EF4553"/>
    <w:rsid w:val="00F161FC"/>
    <w:rsid w:val="00F256E1"/>
    <w:rsid w:val="00F4201C"/>
    <w:rsid w:val="00F42958"/>
    <w:rsid w:val="00F56023"/>
    <w:rsid w:val="00F609C7"/>
    <w:rsid w:val="00F8054B"/>
    <w:rsid w:val="00FD4CEC"/>
    <w:rsid w:val="00FE031C"/>
    <w:rsid w:val="00FE046F"/>
    <w:rsid w:val="00FE11B7"/>
    <w:rsid w:val="00FE22B4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B4E8E-66A4-45C0-87FE-7835C602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xfmc1">
    <w:name w:val="xfmc1"/>
    <w:basedOn w:val="a0"/>
    <w:rsid w:val="00586093"/>
  </w:style>
  <w:style w:type="paragraph" w:styleId="ab">
    <w:name w:val="header"/>
    <w:basedOn w:val="a"/>
    <w:link w:val="ac"/>
    <w:uiPriority w:val="99"/>
    <w:unhideWhenUsed/>
    <w:rsid w:val="004F54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54EA"/>
  </w:style>
  <w:style w:type="paragraph" w:styleId="ad">
    <w:name w:val="footer"/>
    <w:basedOn w:val="a"/>
    <w:link w:val="ae"/>
    <w:uiPriority w:val="99"/>
    <w:unhideWhenUsed/>
    <w:rsid w:val="004F54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6CCF-E07D-4C67-9AE4-45AE672C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4</Pages>
  <Words>3940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147</cp:revision>
  <cp:lastPrinted>2022-02-17T13:58:00Z</cp:lastPrinted>
  <dcterms:created xsi:type="dcterms:W3CDTF">2021-06-04T12:09:00Z</dcterms:created>
  <dcterms:modified xsi:type="dcterms:W3CDTF">2022-02-21T08:34:00Z</dcterms:modified>
</cp:coreProperties>
</file>