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7906"/>
        <w:gridCol w:w="1469"/>
        <w:gridCol w:w="1663"/>
        <w:gridCol w:w="1862"/>
        <w:gridCol w:w="1120"/>
        <w:gridCol w:w="907"/>
        <w:gridCol w:w="993"/>
      </w:tblGrid>
      <w:tr w:rsidR="00B73D92" w:rsidRPr="00B73D92" w:rsidTr="00B505AB">
        <w:trPr>
          <w:trHeight w:val="25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RANGE!A1:G72"/>
            <w:bookmarkEnd w:id="0"/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B73D92" w:rsidRPr="00B73D92" w:rsidTr="00B505AB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Аналіз ефективності виконання бюджетних програм </w:t>
            </w:r>
            <w:r w:rsidRPr="00B73D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  <w:t>по управлінню культури і туризму Ніжинської міської ради</w:t>
            </w:r>
          </w:p>
        </w:tc>
      </w:tr>
      <w:tr w:rsidR="00B505AB" w:rsidRPr="00B73D92" w:rsidTr="00B505AB">
        <w:trPr>
          <w:trHeight w:val="40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1014082</w:t>
            </w:r>
          </w:p>
        </w:tc>
      </w:tr>
      <w:tr w:rsidR="00B505AB" w:rsidRPr="00B73D92" w:rsidTr="00B505AB">
        <w:trPr>
          <w:trHeight w:val="57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Програма: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 </w:t>
            </w:r>
          </w:p>
        </w:tc>
        <w:tc>
          <w:tcPr>
            <w:tcW w:w="26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заходи в галузі культури і мистецтва</w:t>
            </w:r>
          </w:p>
        </w:tc>
      </w:tr>
      <w:tr w:rsidR="00B505AB" w:rsidRPr="00B73D92" w:rsidTr="00B505AB">
        <w:trPr>
          <w:trHeight w:val="383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Завдання:</w:t>
            </w:r>
          </w:p>
        </w:tc>
        <w:tc>
          <w:tcPr>
            <w:tcW w:w="26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Надання фінансової підтримки на розвиток культури і мистецтва  </w:t>
            </w:r>
          </w:p>
        </w:tc>
      </w:tr>
      <w:tr w:rsidR="00B505AB" w:rsidRPr="00B73D92" w:rsidTr="00B505AB">
        <w:trPr>
          <w:trHeight w:val="28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6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Надання фінансової підтримки на розвиток туризму</w:t>
            </w:r>
          </w:p>
        </w:tc>
      </w:tr>
      <w:tr w:rsidR="00B505AB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6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Надання фінансової підтримки на розвиток проведення археологічних досліджень</w:t>
            </w:r>
          </w:p>
        </w:tc>
      </w:tr>
      <w:tr w:rsidR="00B505AB" w:rsidRPr="00B73D92" w:rsidTr="00B505AB">
        <w:trPr>
          <w:trHeight w:val="123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268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Реалізація проекту "Історична книга "Ніжинські земські лікарі та їх нащадки, до 155-річчя заснування Ніжинської </w:t>
            </w:r>
            <w:proofErr w:type="spellStart"/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зеської</w:t>
            </w:r>
            <w:proofErr w:type="spellEnd"/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лікарні" в рамках  Програма реалізації  громадського  бюджету (</w:t>
            </w:r>
            <w:proofErr w:type="spellStart"/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бюджету</w:t>
            </w:r>
            <w:proofErr w:type="spellEnd"/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 участі) міста Ніжина на 2017 – 2021 роки</w:t>
            </w:r>
          </w:p>
        </w:tc>
      </w:tr>
      <w:tr w:rsidR="00B73D92" w:rsidRPr="00B73D92" w:rsidTr="00B505AB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Виконання результативних показників бюджетної програми</w:t>
            </w:r>
          </w:p>
        </w:tc>
      </w:tr>
      <w:tr w:rsidR="00B73D92" w:rsidRPr="00B73D92" w:rsidTr="00B505AB">
        <w:trPr>
          <w:trHeight w:val="630"/>
        </w:trPr>
        <w:tc>
          <w:tcPr>
            <w:tcW w:w="231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Показники</w:t>
            </w:r>
          </w:p>
        </w:tc>
        <w:tc>
          <w:tcPr>
            <w:tcW w:w="16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Попередній період (2020 рік)</w:t>
            </w:r>
          </w:p>
        </w:tc>
        <w:tc>
          <w:tcPr>
            <w:tcW w:w="103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Звітний період (2021 рік)</w:t>
            </w:r>
          </w:p>
        </w:tc>
      </w:tr>
      <w:tr w:rsidR="00B73D92" w:rsidRPr="00B73D92" w:rsidTr="00B505AB">
        <w:trPr>
          <w:trHeight w:val="450"/>
        </w:trPr>
        <w:tc>
          <w:tcPr>
            <w:tcW w:w="231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Затверджено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Виконано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Виконання плану</w:t>
            </w:r>
          </w:p>
        </w:tc>
      </w:tr>
      <w:tr w:rsidR="00B505AB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ефективності: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B73D92" w:rsidRPr="00B73D92" w:rsidTr="00B505AB">
        <w:trPr>
          <w:trHeight w:val="51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Витрати на реалізацію одного заходу місцевого значення  по культурно-мистецькій програмі, в т.ч.  На придбання предметів довгострокового використання, </w:t>
            </w:r>
            <w:r w:rsidRPr="00B73D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1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13.6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13.6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14.4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19.1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0.754</w:t>
            </w:r>
          </w:p>
        </w:tc>
      </w:tr>
      <w:tr w:rsidR="00B73D92" w:rsidRPr="00B73D92" w:rsidTr="00B505AB">
        <w:trPr>
          <w:trHeight w:val="51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Витрати на реалізацію одного заходу місцевого значення  програми розвитку туризму, </w:t>
            </w:r>
            <w:r w:rsidRPr="00B73D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грн.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2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19.2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19.2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4.4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4.4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51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Витрати на реалізацію одного заходу  програм з розвитку проведення археологічних досліджень, </w:t>
            </w:r>
            <w:r w:rsidRPr="00B73D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 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3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375.0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374.7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190.0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190.0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Середні витрати на реалізацію одного заходу по громадському бюджету, </w:t>
            </w:r>
            <w:r w:rsidRPr="00B73D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uk-UA"/>
              </w:rPr>
              <w:t>тис. грн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4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49.5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49.5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505AB" w:rsidRPr="00B73D92" w:rsidTr="00B505AB">
        <w:trPr>
          <w:trHeight w:val="300"/>
        </w:trPr>
        <w:tc>
          <w:tcPr>
            <w:tcW w:w="23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Показники якості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x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програм розвитку культури і мистецтва   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1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87.4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99.5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1.139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заходів з  програм розвитку туризму        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2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99.8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99.8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програм розвитку проведення археологічних досліджень    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3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99.9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99.9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Відсоток виконання програми по громадському бюджету  (</w:t>
            </w:r>
            <w:r w:rsidRPr="00B73D92">
              <w:rPr>
                <w:rFonts w:ascii="Times New Roman" w:eastAsia="Times New Roman" w:hAnsi="Times New Roman" w:cs="Times New Roman"/>
                <w:color w:val="008000"/>
                <w:sz w:val="20"/>
                <w:szCs w:val="20"/>
                <w:lang w:eastAsia="uk-UA"/>
              </w:rPr>
              <w:t>завдання 4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5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100.0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1.000</w:t>
            </w:r>
          </w:p>
        </w:tc>
      </w:tr>
      <w:tr w:rsidR="00B73D92" w:rsidRPr="00B73D92" w:rsidTr="00B505AB">
        <w:trPr>
          <w:trHeight w:val="338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Розрахунок основних параметрів оцінки:</w:t>
            </w:r>
          </w:p>
        </w:tc>
      </w:tr>
      <w:tr w:rsidR="00B73D92" w:rsidRPr="00B73D92" w:rsidTr="00B505AB">
        <w:trPr>
          <w:trHeight w:val="57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а)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середнього індексу виконання показників ефективності звітного періоду:</w:t>
            </w:r>
          </w:p>
        </w:tc>
      </w:tr>
      <w:tr w:rsidR="00B73D92" w:rsidRPr="00B73D92" w:rsidTr="00B505AB">
        <w:trPr>
          <w:trHeight w:val="33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(0.754):1*100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75.4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93.8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383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розрахунок середнього індексу виконання показників ефективності попереднього періоду:</w:t>
            </w:r>
          </w:p>
        </w:tc>
      </w:tr>
      <w:tr w:rsidR="00B73D92" w:rsidRPr="00B73D92" w:rsidTr="00B505AB">
        <w:trPr>
          <w:trHeight w:val="33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85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33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(1,001):1*100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100.1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72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І(еф)  =  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Відсутні дані по показникам ефективності  за 2020  рік</w:t>
            </w:r>
          </w:p>
        </w:tc>
      </w:tr>
      <w:tr w:rsidR="00B73D92" w:rsidRPr="00B73D92" w:rsidTr="00B505AB">
        <w:trPr>
          <w:trHeight w:val="46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(еф)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37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  розрахунок середнього індексу виконання показників якості звітного періоду: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52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55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54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 (1,000):1*100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42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(як)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= 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</w:p>
        </w:tc>
      </w:tr>
      <w:tr w:rsidR="00B73D92" w:rsidRPr="00B73D92" w:rsidTr="00B505AB">
        <w:trPr>
          <w:trHeight w:val="46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в)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 розрахунок порівняння результативності бюджетної програми із показниками попередніх періодів:</w:t>
            </w:r>
          </w:p>
        </w:tc>
      </w:tr>
      <w:tr w:rsidR="00B73D92" w:rsidRPr="00B73D92" w:rsidTr="00B505AB">
        <w:trPr>
          <w:trHeight w:val="46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=75.4/100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0.75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46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=100/100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46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lastRenderedPageBreak/>
              <w:t>І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=100/100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1.00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55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І1  =  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-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завдання)</w:t>
            </w:r>
          </w:p>
        </w:tc>
        <w:tc>
          <w:tcPr>
            <w:tcW w:w="164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lang w:eastAsia="uk-UA"/>
              </w:rPr>
              <w:t>Відсутні дані по показникам ефективності  за 2020  рік</w:t>
            </w:r>
          </w:p>
        </w:tc>
      </w:tr>
      <w:tr w:rsidR="00B73D92" w:rsidRPr="00B73D92" w:rsidTr="00B505AB">
        <w:trPr>
          <w:trHeight w:val="31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І</w:t>
            </w:r>
            <w:r w:rsidRPr="00B73D9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0.94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505AB" w:rsidRPr="00B73D92" w:rsidTr="00B505AB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Розрахунок кількості набраних балів за параметром порівняння результативності бюджетної програми із показниками попередніх періодів. </w:t>
            </w:r>
          </w:p>
        </w:tc>
      </w:tr>
      <w:tr w:rsidR="00B505AB" w:rsidRPr="00B73D92" w:rsidTr="00B505AB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І1=0.75, що відповідає критерію оцінки І1&lt; 0.85 , то за цим параметром для даної програми нараховується </w:t>
            </w:r>
          </w:p>
        </w:tc>
      </w:tr>
      <w:tr w:rsidR="00B73D92" w:rsidRPr="00B73D92" w:rsidTr="00B505AB">
        <w:trPr>
          <w:trHeight w:val="36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505AB" w:rsidRPr="00B73D92" w:rsidTr="00B505A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І1=1.00, що відповідає критерію оцінки І1 ≥ 1 , то за цим параметром для даної програми нараховується 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505AB" w:rsidRPr="00B73D92" w:rsidTr="00B505AB">
        <w:trPr>
          <w:trHeight w:val="4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І1=1.00, що відповідає критерію оцінки І1 ≥ 1 , то за цим параметром для даної програми нараховується 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505AB" w:rsidRPr="00B73D92" w:rsidTr="00B505A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Оскільки І1 відсутній, то шкала ефективності коригується шляхом зменшення на 25 одиниць.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505AB" w:rsidRPr="00B73D92" w:rsidTr="00B505AB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Оскільки І1=0.94, що відповідає критерію оцінки 0,85 ≤ І1 &lt; 1, то за цим параметром для даної програми нараховується 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000000" w:fill="DDD9C4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15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балів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 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Визначення ступеню ефективності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6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Кінцевий розрахунок загальної ефективності бюджетної програми складається із загальної суми балів за кожним з параметром оцінки:</w:t>
            </w:r>
          </w:p>
        </w:tc>
      </w:tr>
      <w:tr w:rsidR="00B73D92" w:rsidRPr="00B73D92" w:rsidTr="00B505AB">
        <w:trPr>
          <w:trHeight w:val="163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Для  бюджетних  програм  (окремих завдань програми), які  не  містять  групи  результативних  показників  ефективності  або  якості, та  бюджетних програм, для яких немає даних за попередні </w:t>
            </w:r>
            <w:proofErr w:type="spellStart"/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бюджетниі</w:t>
            </w:r>
            <w:proofErr w:type="spellEnd"/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 періоди, загальна  шкала  аналізу  ефективності програми повинна  коригуватися.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br/>
              <w:t>Відсутність даних  для розрахунку кожного з параметрів оцінки зменшує відповідне значення  шкали ефективності програми на 100 балів(для І(еф), І(як))  або  на 25 балів(для І</w:t>
            </w:r>
            <w:r w:rsidRPr="00B73D92">
              <w:rPr>
                <w:rFonts w:ascii="Times New Roman" w:eastAsia="Times New Roman" w:hAnsi="Times New Roman" w:cs="Times New Roman"/>
                <w:vertAlign w:val="subscript"/>
                <w:lang w:eastAsia="uk-UA"/>
              </w:rPr>
              <w:t>1</w:t>
            </w: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).</w:t>
            </w: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175.4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(1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225.0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(2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225.0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(3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Е =  І(еф) +  І(як) + І1 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200.0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  <w:t>(4 завдання)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300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>Е=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208.8</w:t>
            </w:r>
          </w:p>
        </w:tc>
        <w:tc>
          <w:tcPr>
            <w:tcW w:w="5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B73D92" w:rsidRPr="00B73D92" w:rsidTr="00B505AB">
        <w:trPr>
          <w:trHeight w:val="63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lang w:eastAsia="uk-UA"/>
              </w:rPr>
              <w:t xml:space="preserve">При порівнянні отриманого значення зі шкалою оцінки ефективності бюджетних програм можемо зробити висновок, що дана програма має </w:t>
            </w: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в середньому</w:t>
            </w:r>
          </w:p>
        </w:tc>
      </w:tr>
      <w:tr w:rsidR="00B73D92" w:rsidRPr="00B73D92" w:rsidTr="00B505AB">
        <w:trPr>
          <w:trHeight w:val="285"/>
        </w:trPr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середню</w:t>
            </w:r>
          </w:p>
        </w:tc>
        <w:tc>
          <w:tcPr>
            <w:tcW w:w="10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B73D92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ефективність.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3D92" w:rsidRPr="00B73D92" w:rsidRDefault="00B73D92" w:rsidP="00B73D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</w:p>
        </w:tc>
      </w:tr>
    </w:tbl>
    <w:p w:rsidR="005C72B2" w:rsidRDefault="005C72B2"/>
    <w:tbl>
      <w:tblPr>
        <w:tblW w:w="5000" w:type="pct"/>
        <w:tblLook w:val="04A0" w:firstRow="1" w:lastRow="0" w:firstColumn="1" w:lastColumn="0" w:noHBand="0" w:noVBand="1"/>
      </w:tblPr>
      <w:tblGrid>
        <w:gridCol w:w="521"/>
        <w:gridCol w:w="1639"/>
        <w:gridCol w:w="5345"/>
        <w:gridCol w:w="2798"/>
        <w:gridCol w:w="2822"/>
        <w:gridCol w:w="2795"/>
      </w:tblGrid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Додаток1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Результати аналізу ефективності бюджетної програми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83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станом на 01.01.2022 року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338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1000000</w:t>
            </w:r>
          </w:p>
        </w:tc>
        <w:tc>
          <w:tcPr>
            <w:tcW w:w="43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144879" w:rsidRPr="00144879" w:rsidTr="00144879">
        <w:trPr>
          <w:trHeight w:val="338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338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1010000</w:t>
            </w:r>
          </w:p>
        </w:tc>
        <w:tc>
          <w:tcPr>
            <w:tcW w:w="43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Управління культури і туризму</w:t>
            </w:r>
          </w:p>
        </w:tc>
      </w:tr>
      <w:tr w:rsidR="00144879" w:rsidRPr="00144879" w:rsidTr="00144879">
        <w:trPr>
          <w:trHeight w:val="338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головного розпорядника)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60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1014082</w:t>
            </w:r>
          </w:p>
        </w:tc>
        <w:tc>
          <w:tcPr>
            <w:tcW w:w="43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Інші заходи в галузі культури і мистецтва</w:t>
            </w: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(КПКВК МБ)</w:t>
            </w: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(найменування бюджетної програми)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Результати аналізу ефективності: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51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завдання</w:t>
            </w:r>
          </w:p>
        </w:tc>
        <w:tc>
          <w:tcPr>
            <w:tcW w:w="1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підпрограми / завдання бюджетної програми1</w:t>
            </w:r>
          </w:p>
        </w:tc>
        <w:tc>
          <w:tcPr>
            <w:tcW w:w="26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нарахованих балів</w:t>
            </w: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Висока ефективність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ефективність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Низька ефективність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</w:t>
            </w:r>
          </w:p>
        </w:tc>
      </w:tr>
      <w:tr w:rsidR="00144879" w:rsidRPr="00144879" w:rsidTr="00144879">
        <w:trPr>
          <w:trHeight w:val="60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 xml:space="preserve">Надання фінансової підтримки на розвиток культури і мистецтва 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175.4 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>Надання фінансової підтримки на розвиток туризму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225.0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144879" w:rsidRPr="00144879" w:rsidTr="00144879">
        <w:trPr>
          <w:trHeight w:val="60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>Надання фінансової підтримки на розвиток проведення археологічних досліджень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225.0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144879" w:rsidRPr="00144879" w:rsidTr="00144879">
        <w:trPr>
          <w:trHeight w:val="147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 xml:space="preserve">Реалізація проекту "Історична книга "Ніжинські земські лікарі та їх нащадки, до 155-річчя заснування Ніжинської </w:t>
            </w:r>
            <w:proofErr w:type="spellStart"/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>зеської</w:t>
            </w:r>
            <w:proofErr w:type="spellEnd"/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 xml:space="preserve"> лікарні" в рамках  Програма реалізації  громадського  бюджету (</w:t>
            </w:r>
            <w:proofErr w:type="spellStart"/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>бюджету</w:t>
            </w:r>
            <w:proofErr w:type="spellEnd"/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 xml:space="preserve"> участі) міста Ніжина на 2017 – 2021 роки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200.0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144879" w:rsidRPr="00144879" w:rsidTr="00144879">
        <w:trPr>
          <w:trHeight w:val="58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Загальний результат оцінки програми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 -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208.8 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- </w:t>
            </w:r>
          </w:p>
        </w:tc>
      </w:tr>
      <w:tr w:rsidR="00144879" w:rsidRPr="00144879" w:rsidTr="00144879">
        <w:trPr>
          <w:trHeight w:val="22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30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1</w:t>
            </w: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програми та завдання, які включені до звіту про виконання паспорту бюджетної програми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 Поглиблений аналіз причин низької ефективності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990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завдання бюджетної програми2</w:t>
            </w:r>
          </w:p>
        </w:tc>
        <w:tc>
          <w:tcPr>
            <w:tcW w:w="26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Пояснення щодо причин низької ефективності, визначення факторів через які не досягнуто запланованих результатів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</w:tr>
      <w:tr w:rsidR="00144879" w:rsidRPr="00144879" w:rsidTr="00144879">
        <w:trPr>
          <w:trHeight w:val="817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lang w:eastAsia="uk-UA"/>
              </w:rPr>
              <w:t xml:space="preserve">Надання фінансової підтримки на розвиток культури і мистецтва  </w:t>
            </w:r>
          </w:p>
        </w:tc>
        <w:tc>
          <w:tcPr>
            <w:tcW w:w="26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Низька ефективність виконання завдання пояснюється  проведенням  протягом 2021 року заходів в меншій кількості, ніж передбачалось календарним планом Програми розвитку культури, мистецтва і охорони культурної спадщини. 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Кількість заходів згідно календарного плану - 62 (останні зміни внесено рішенням НМР від 26.10.2021 року №45-45/2021), профінансовано та проведено – 43. Не проведено 19 заходів: 7 - де  передбачаються витрати на проживання та харчування гостей, 10 - через карантинні вимоги до проведення заходів, 1 – не надходило звернень щодо фінансування транспортних витрат колективів, що не підпорядковані управлінню культури і туризму, 1 – не придбано мобільну сцену через відсутність фінансування. Порівняно з 2020 роком фінансування заходів програми  збільшено на 85%, але не проведення 30% заходів вплинуло на підвищення вартості одного заходу в порівнянні із плановим показником. Тобто послаблення карантинних обмежень сприяло підвищенню результативних показників у порівнянні з минулим роком, і вплинуло на низьку ефективність поточного року.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Таким чином, низька ефективність завдання 1 пов’язана з дією зовнішнього фактору – епідеміологічної ситуації в країні. Що впливає на економічний стан бюджету громади та унеможливлює проведення таких заходів, які передбачають: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softHyphen/>
              <w:t xml:space="preserve"> масовість, 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softHyphen/>
              <w:t xml:space="preserve"> присутність запрошених гостей з інших  міст чи держав, 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softHyphen/>
              <w:t xml:space="preserve"> відвідування колективами Ніжинської територіальної громади 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всеукраїнських чи міжнародних фестивалів, конкурсів,</w:t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</w:r>
            <w:r w:rsidRPr="0014487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softHyphen/>
              <w:t xml:space="preserve"> придбання мобільної сцени для проведення загальноміських заходів.</w:t>
            </w:r>
          </w:p>
        </w:tc>
      </w:tr>
      <w:tr w:rsidR="00144879" w:rsidRPr="00144879" w:rsidTr="00144879">
        <w:trPr>
          <w:trHeight w:val="283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6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uk-UA"/>
              </w:rPr>
              <w:t>2</w:t>
            </w:r>
            <w:r w:rsidRPr="00144879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Зазначаються усі завдання, які мають низьку ефективність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25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144879" w:rsidRPr="00144879" w:rsidTr="00144879">
        <w:trPr>
          <w:trHeight w:val="432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Начальник управління культури і туризму</w:t>
            </w:r>
          </w:p>
        </w:tc>
        <w:tc>
          <w:tcPr>
            <w:tcW w:w="8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Тетяна БАССАК</w:t>
            </w:r>
          </w:p>
        </w:tc>
      </w:tr>
      <w:tr w:rsidR="00144879" w:rsidRPr="00144879" w:rsidTr="00144879">
        <w:trPr>
          <w:trHeight w:val="315"/>
        </w:trPr>
        <w:tc>
          <w:tcPr>
            <w:tcW w:w="1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(підпис)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4487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(ініціали та прізвище)</w:t>
            </w: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4879" w:rsidRPr="00144879" w:rsidRDefault="00144879" w:rsidP="001448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44879" w:rsidRDefault="00144879">
      <w:bookmarkStart w:id="1" w:name="_GoBack"/>
      <w:bookmarkEnd w:id="1"/>
    </w:p>
    <w:sectPr w:rsidR="00144879" w:rsidSect="00B505AB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D92"/>
    <w:rsid w:val="00144879"/>
    <w:rsid w:val="005C72B2"/>
    <w:rsid w:val="00B505AB"/>
    <w:rsid w:val="00B7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5438</Words>
  <Characters>3100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Oksana</cp:lastModifiedBy>
  <cp:revision>2</cp:revision>
  <dcterms:created xsi:type="dcterms:W3CDTF">2022-02-08T21:26:00Z</dcterms:created>
  <dcterms:modified xsi:type="dcterms:W3CDTF">2022-02-08T21:30:00Z</dcterms:modified>
</cp:coreProperties>
</file>