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AE" w:rsidRPr="000D60AE" w:rsidRDefault="000D60AE" w:rsidP="000D60AE">
      <w:pPr>
        <w:pStyle w:val="1"/>
        <w:shd w:val="clear" w:color="auto" w:fill="FFFFFF"/>
        <w:spacing w:before="0" w:beforeAutospacing="0" w:after="0" w:afterAutospacing="0"/>
        <w:jc w:val="center"/>
        <w:rPr>
          <w:color w:val="444444"/>
          <w:sz w:val="28"/>
          <w:szCs w:val="28"/>
        </w:rPr>
      </w:pPr>
      <w:r w:rsidRPr="000D60AE">
        <w:rPr>
          <w:color w:val="444444"/>
          <w:sz w:val="28"/>
          <w:szCs w:val="28"/>
        </w:rPr>
        <w:t>Об утверждении Классификационных признаков чрезвычайных ситуаций</w:t>
      </w:r>
    </w:p>
    <w:p w:rsidR="000D60AE" w:rsidRPr="000D60AE" w:rsidRDefault="000D60AE" w:rsidP="000D60AE">
      <w:pPr>
        <w:shd w:val="clear" w:color="auto" w:fill="FFFFFF"/>
        <w:jc w:val="center"/>
        <w:rPr>
          <w:color w:val="2A2928"/>
          <w:sz w:val="28"/>
          <w:szCs w:val="28"/>
        </w:rPr>
      </w:pPr>
      <w:r w:rsidRPr="000D60AE">
        <w:rPr>
          <w:rStyle w:val="a5"/>
          <w:b w:val="0"/>
          <w:bCs w:val="0"/>
          <w:color w:val="2A2928"/>
          <w:sz w:val="28"/>
          <w:szCs w:val="28"/>
        </w:rPr>
        <w:t>МВД</w:t>
      </w:r>
      <w:r w:rsidRPr="000D60AE">
        <w:rPr>
          <w:color w:val="2A2928"/>
          <w:sz w:val="28"/>
          <w:szCs w:val="28"/>
        </w:rPr>
        <w:br/>
      </w:r>
      <w:r w:rsidRPr="000D60AE">
        <w:rPr>
          <w:rStyle w:val="a5"/>
          <w:b w:val="0"/>
          <w:bCs w:val="0"/>
          <w:color w:val="2A2928"/>
          <w:sz w:val="28"/>
          <w:szCs w:val="28"/>
        </w:rPr>
        <w:t>Приказ от 06.08.2018 № 658действует с 14.09.2018</w:t>
      </w:r>
    </w:p>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tblPr>
      <w:tblGrid>
        <w:gridCol w:w="9355"/>
      </w:tblGrid>
      <w:tr w:rsidR="000D60AE" w:rsidRPr="000D60AE" w:rsidTr="000D60AE">
        <w:trPr>
          <w:tblCellSpacing w:w="0" w:type="dxa"/>
        </w:trPr>
        <w:tc>
          <w:tcPr>
            <w:tcW w:w="0" w:type="auto"/>
            <w:tcBorders>
              <w:top w:val="nil"/>
              <w:left w:val="nil"/>
              <w:bottom w:val="nil"/>
              <w:right w:val="nil"/>
            </w:tcBorders>
            <w:vAlign w:val="center"/>
            <w:hideMark/>
          </w:tcPr>
          <w:p w:rsidR="000D60AE" w:rsidRPr="000D60AE" w:rsidRDefault="000D60AE">
            <w:pPr>
              <w:numPr>
                <w:ilvl w:val="0"/>
                <w:numId w:val="2"/>
              </w:numPr>
              <w:ind w:left="0"/>
              <w:rPr>
                <w:sz w:val="28"/>
                <w:szCs w:val="28"/>
              </w:rPr>
            </w:pPr>
          </w:p>
          <w:p w:rsidR="000D60AE" w:rsidRPr="000D60AE" w:rsidRDefault="000D60AE">
            <w:pPr>
              <w:numPr>
                <w:ilvl w:val="0"/>
                <w:numId w:val="2"/>
              </w:numPr>
              <w:ind w:left="0"/>
              <w:rPr>
                <w:sz w:val="28"/>
                <w:szCs w:val="28"/>
              </w:rPr>
            </w:pPr>
          </w:p>
          <w:p w:rsidR="000D60AE" w:rsidRPr="000D60AE" w:rsidRDefault="000D60AE">
            <w:pPr>
              <w:numPr>
                <w:ilvl w:val="0"/>
                <w:numId w:val="2"/>
              </w:numPr>
              <w:ind w:left="0"/>
              <w:rPr>
                <w:sz w:val="28"/>
                <w:szCs w:val="28"/>
              </w:rPr>
            </w:pPr>
          </w:p>
          <w:p w:rsidR="000D60AE" w:rsidRPr="000D60AE" w:rsidRDefault="000D60AE">
            <w:pPr>
              <w:numPr>
                <w:ilvl w:val="0"/>
                <w:numId w:val="2"/>
              </w:numPr>
              <w:ind w:left="0"/>
              <w:rPr>
                <w:sz w:val="28"/>
                <w:szCs w:val="28"/>
              </w:rPr>
            </w:pPr>
          </w:p>
        </w:tc>
      </w:tr>
    </w:tbl>
    <w:p w:rsidR="000D60AE" w:rsidRPr="000D60AE" w:rsidRDefault="000D60AE" w:rsidP="000D60AE">
      <w:pPr>
        <w:pStyle w:val="tc"/>
        <w:shd w:val="clear" w:color="auto" w:fill="FFFFFF"/>
        <w:spacing w:before="0" w:beforeAutospacing="0" w:after="0" w:afterAutospacing="0" w:line="360" w:lineRule="atLeast"/>
        <w:jc w:val="center"/>
        <w:rPr>
          <w:color w:val="2A2928"/>
          <w:sz w:val="28"/>
          <w:szCs w:val="28"/>
        </w:rPr>
      </w:pPr>
      <w:r w:rsidRPr="000D60AE">
        <w:rPr>
          <w:noProof/>
          <w:color w:val="2A2928"/>
          <w:sz w:val="28"/>
          <w:szCs w:val="28"/>
        </w:rPr>
        <w:drawing>
          <wp:inline distT="0" distB="0" distL="0" distR="0">
            <wp:extent cx="628650" cy="83820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r:link="rId6" cstate="print"/>
                    <a:srcRect/>
                    <a:stretch>
                      <a:fillRect/>
                    </a:stretch>
                  </pic:blipFill>
                  <pic:spPr bwMode="auto">
                    <a:xfrm>
                      <a:off x="0" y="0"/>
                      <a:ext cx="628650" cy="838200"/>
                    </a:xfrm>
                    <a:prstGeom prst="rect">
                      <a:avLst/>
                    </a:prstGeom>
                    <a:noFill/>
                    <a:ln w="9525">
                      <a:noFill/>
                      <a:miter lim="800000"/>
                      <a:headEnd/>
                      <a:tailEnd/>
                    </a:ln>
                  </pic:spPr>
                </pic:pic>
              </a:graphicData>
            </a:graphic>
          </wp:inline>
        </w:drawing>
      </w:r>
    </w:p>
    <w:p w:rsidR="000D60AE" w:rsidRPr="000D60AE" w:rsidRDefault="000D60AE" w:rsidP="000D60AE">
      <w:pPr>
        <w:pStyle w:val="2"/>
        <w:shd w:val="clear" w:color="auto" w:fill="FFFFFF"/>
        <w:spacing w:before="0" w:beforeAutospacing="0" w:after="0" w:afterAutospacing="0" w:line="510" w:lineRule="atLeast"/>
        <w:jc w:val="center"/>
        <w:rPr>
          <w:b w:val="0"/>
          <w:bCs w:val="0"/>
          <w:color w:val="2A2928"/>
          <w:sz w:val="28"/>
          <w:szCs w:val="28"/>
        </w:rPr>
      </w:pPr>
      <w:r w:rsidRPr="000D60AE">
        <w:rPr>
          <w:b w:val="0"/>
          <w:bCs w:val="0"/>
          <w:color w:val="2A2928"/>
          <w:sz w:val="28"/>
          <w:szCs w:val="28"/>
        </w:rPr>
        <w:t>МІНІСТЕРСТВО ВНУТРІШНІХ СПРАВ УКРАЇНИ</w:t>
      </w:r>
    </w:p>
    <w:p w:rsidR="000D60AE" w:rsidRPr="000D60AE" w:rsidRDefault="000D60AE" w:rsidP="000D60AE">
      <w:pPr>
        <w:pStyle w:val="2"/>
        <w:shd w:val="clear" w:color="auto" w:fill="FFFFFF"/>
        <w:spacing w:before="0" w:beforeAutospacing="0" w:after="0" w:afterAutospacing="0" w:line="510" w:lineRule="atLeast"/>
        <w:jc w:val="center"/>
        <w:rPr>
          <w:b w:val="0"/>
          <w:bCs w:val="0"/>
          <w:color w:val="2A2928"/>
          <w:sz w:val="28"/>
          <w:szCs w:val="28"/>
        </w:rPr>
      </w:pPr>
      <w:r w:rsidRPr="000D60AE">
        <w:rPr>
          <w:b w:val="0"/>
          <w:bCs w:val="0"/>
          <w:color w:val="2A2928"/>
          <w:sz w:val="28"/>
          <w:szCs w:val="28"/>
        </w:rPr>
        <w:t>НАКАЗ</w:t>
      </w:r>
    </w:p>
    <w:tbl>
      <w:tblPr>
        <w:tblW w:w="5000" w:type="pct"/>
        <w:tblCellSpacing w:w="22" w:type="dxa"/>
        <w:tblCellMar>
          <w:top w:w="105" w:type="dxa"/>
          <w:left w:w="810" w:type="dxa"/>
          <w:bottom w:w="105" w:type="dxa"/>
          <w:right w:w="810" w:type="dxa"/>
        </w:tblCellMar>
        <w:tblLook w:val="04A0"/>
      </w:tblPr>
      <w:tblGrid>
        <w:gridCol w:w="3310"/>
        <w:gridCol w:w="2824"/>
        <w:gridCol w:w="3309"/>
      </w:tblGrid>
      <w:tr w:rsidR="000D60AE" w:rsidRPr="000D60AE" w:rsidTr="000D60AE">
        <w:trPr>
          <w:tblCellSpacing w:w="22" w:type="dxa"/>
        </w:trPr>
        <w:tc>
          <w:tcPr>
            <w:tcW w:w="1750" w:type="pct"/>
            <w:tcMar>
              <w:top w:w="0" w:type="dxa"/>
              <w:left w:w="0" w:type="dxa"/>
              <w:bottom w:w="0" w:type="dxa"/>
              <w:right w:w="0" w:type="dxa"/>
            </w:tcMar>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06.08.2018</w:t>
            </w:r>
          </w:p>
        </w:tc>
        <w:tc>
          <w:tcPr>
            <w:tcW w:w="1500" w:type="pct"/>
            <w:tcMar>
              <w:top w:w="0" w:type="dxa"/>
              <w:left w:w="0" w:type="dxa"/>
              <w:bottom w:w="0" w:type="dxa"/>
              <w:right w:w="0" w:type="dxa"/>
            </w:tcMar>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м. Киї</w:t>
            </w:r>
            <w:proofErr w:type="gramStart"/>
            <w:r w:rsidRPr="000D60AE">
              <w:rPr>
                <w:b/>
                <w:bCs/>
                <w:sz w:val="28"/>
                <w:szCs w:val="28"/>
              </w:rPr>
              <w:t>в</w:t>
            </w:r>
            <w:proofErr w:type="gramEnd"/>
          </w:p>
        </w:tc>
        <w:tc>
          <w:tcPr>
            <w:tcW w:w="1750" w:type="pct"/>
            <w:tcMar>
              <w:top w:w="0" w:type="dxa"/>
              <w:left w:w="0" w:type="dxa"/>
              <w:bottom w:w="0" w:type="dxa"/>
              <w:right w:w="0" w:type="dxa"/>
            </w:tcMar>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N 658</w:t>
            </w:r>
          </w:p>
        </w:tc>
      </w:tr>
    </w:tbl>
    <w:p w:rsidR="000D60AE" w:rsidRPr="000D60AE" w:rsidRDefault="000D60AE" w:rsidP="000D60AE">
      <w:pPr>
        <w:pStyle w:val="tcbmf"/>
        <w:shd w:val="clear" w:color="auto" w:fill="FFFFFF"/>
        <w:spacing w:before="0" w:beforeAutospacing="0" w:after="0" w:afterAutospacing="0" w:line="360" w:lineRule="atLeast"/>
        <w:jc w:val="center"/>
        <w:rPr>
          <w:color w:val="2A2928"/>
          <w:sz w:val="28"/>
          <w:szCs w:val="28"/>
        </w:rPr>
      </w:pPr>
      <w:r w:rsidRPr="000D60AE">
        <w:rPr>
          <w:b/>
          <w:bCs/>
          <w:color w:val="2A2928"/>
          <w:sz w:val="28"/>
          <w:szCs w:val="28"/>
        </w:rPr>
        <w:t>Зареєстровано в Міністерстві юстиції України</w:t>
      </w:r>
      <w:r w:rsidRPr="000D60AE">
        <w:rPr>
          <w:b/>
          <w:bCs/>
          <w:color w:val="2A2928"/>
          <w:sz w:val="28"/>
          <w:szCs w:val="28"/>
        </w:rPr>
        <w:br/>
        <w:t>28 серпня 2018 р. за N 969/32421</w:t>
      </w:r>
    </w:p>
    <w:p w:rsidR="000D60AE" w:rsidRPr="000D60AE" w:rsidRDefault="000D60AE" w:rsidP="000D60AE">
      <w:pPr>
        <w:pStyle w:val="2"/>
        <w:shd w:val="clear" w:color="auto" w:fill="FFFFFF"/>
        <w:spacing w:before="0" w:beforeAutospacing="0" w:after="0" w:afterAutospacing="0" w:line="510" w:lineRule="atLeast"/>
        <w:jc w:val="center"/>
        <w:rPr>
          <w:b w:val="0"/>
          <w:bCs w:val="0"/>
          <w:color w:val="2A2928"/>
          <w:sz w:val="28"/>
          <w:szCs w:val="28"/>
        </w:rPr>
      </w:pPr>
      <w:r w:rsidRPr="000D60AE">
        <w:rPr>
          <w:b w:val="0"/>
          <w:bCs w:val="0"/>
          <w:color w:val="2A2928"/>
          <w:sz w:val="28"/>
          <w:szCs w:val="28"/>
        </w:rPr>
        <w:t>Про затвердження Класифікаційних ознак надзвичайних ситуацій</w:t>
      </w:r>
    </w:p>
    <w:p w:rsidR="000D60AE" w:rsidRPr="000D60AE" w:rsidRDefault="000D60AE" w:rsidP="000D60AE">
      <w:pPr>
        <w:pStyle w:val="tjbmf"/>
        <w:shd w:val="clear" w:color="auto" w:fill="FFFFFF"/>
        <w:spacing w:before="0" w:beforeAutospacing="0" w:after="0" w:afterAutospacing="0" w:line="360" w:lineRule="atLeast"/>
        <w:jc w:val="both"/>
        <w:rPr>
          <w:color w:val="2A2928"/>
          <w:sz w:val="28"/>
          <w:szCs w:val="28"/>
        </w:rPr>
      </w:pPr>
      <w:r w:rsidRPr="000D60AE">
        <w:rPr>
          <w:color w:val="2A2928"/>
          <w:sz w:val="28"/>
          <w:szCs w:val="28"/>
        </w:rPr>
        <w:t>Згідно з</w:t>
      </w:r>
      <w:r w:rsidRPr="000D60AE">
        <w:rPr>
          <w:rStyle w:val="apple-converted-space"/>
          <w:color w:val="2A2928"/>
          <w:sz w:val="28"/>
          <w:szCs w:val="28"/>
        </w:rPr>
        <w:t> </w:t>
      </w:r>
      <w:hyperlink r:id="rId7" w:tgtFrame="_top" w:history="1">
        <w:r w:rsidRPr="000D60AE">
          <w:rPr>
            <w:rStyle w:val="a3"/>
            <w:sz w:val="28"/>
            <w:szCs w:val="28"/>
          </w:rPr>
          <w:t xml:space="preserve">частиною </w:t>
        </w:r>
        <w:proofErr w:type="gramStart"/>
        <w:r w:rsidRPr="000D60AE">
          <w:rPr>
            <w:rStyle w:val="a3"/>
            <w:sz w:val="28"/>
            <w:szCs w:val="28"/>
          </w:rPr>
          <w:t>п'ятою</w:t>
        </w:r>
        <w:proofErr w:type="gramEnd"/>
        <w:r w:rsidRPr="000D60AE">
          <w:rPr>
            <w:rStyle w:val="a3"/>
            <w:sz w:val="28"/>
            <w:szCs w:val="28"/>
          </w:rPr>
          <w:t xml:space="preserve"> статті 5 Кодексу цивільного захисту України</w:t>
        </w:r>
      </w:hyperlink>
    </w:p>
    <w:p w:rsidR="000D60AE" w:rsidRPr="000D60AE" w:rsidRDefault="000D60AE" w:rsidP="000D60AE">
      <w:pPr>
        <w:pStyle w:val="tjbmf"/>
        <w:shd w:val="clear" w:color="auto" w:fill="FFFFFF"/>
        <w:spacing w:before="0" w:beforeAutospacing="0" w:after="0" w:afterAutospacing="0" w:line="360" w:lineRule="atLeast"/>
        <w:jc w:val="both"/>
        <w:rPr>
          <w:color w:val="2A2928"/>
          <w:sz w:val="28"/>
          <w:szCs w:val="28"/>
        </w:rPr>
      </w:pPr>
      <w:r w:rsidRPr="000D60AE">
        <w:rPr>
          <w:b/>
          <w:bCs/>
          <w:color w:val="2A2928"/>
          <w:sz w:val="28"/>
          <w:szCs w:val="28"/>
        </w:rPr>
        <w:t>НАКАЗУЮ:</w:t>
      </w:r>
    </w:p>
    <w:p w:rsidR="000D60AE" w:rsidRPr="000D60AE" w:rsidRDefault="000D60AE" w:rsidP="000D60AE">
      <w:pPr>
        <w:pStyle w:val="tjbmf"/>
        <w:shd w:val="clear" w:color="auto" w:fill="FFFFFF"/>
        <w:spacing w:before="0" w:beforeAutospacing="0" w:after="0" w:afterAutospacing="0" w:line="360" w:lineRule="atLeast"/>
        <w:jc w:val="both"/>
        <w:rPr>
          <w:color w:val="2A2928"/>
          <w:sz w:val="28"/>
          <w:szCs w:val="28"/>
        </w:rPr>
      </w:pPr>
      <w:r w:rsidRPr="000D60AE">
        <w:rPr>
          <w:color w:val="2A2928"/>
          <w:sz w:val="28"/>
          <w:szCs w:val="28"/>
        </w:rPr>
        <w:t>1. Затвердити Класифікаційні ознаки надзвичайних ситуацій, що додаються.</w:t>
      </w:r>
    </w:p>
    <w:p w:rsidR="000D60AE" w:rsidRPr="000D60AE" w:rsidRDefault="000D60AE" w:rsidP="000D60AE">
      <w:pPr>
        <w:pStyle w:val="tjbmf"/>
        <w:shd w:val="clear" w:color="auto" w:fill="FFFFFF"/>
        <w:spacing w:before="0" w:beforeAutospacing="0" w:after="0" w:afterAutospacing="0" w:line="360" w:lineRule="atLeast"/>
        <w:jc w:val="both"/>
        <w:rPr>
          <w:color w:val="2A2928"/>
          <w:sz w:val="28"/>
          <w:szCs w:val="28"/>
        </w:rPr>
      </w:pPr>
      <w:r w:rsidRPr="000D60AE">
        <w:rPr>
          <w:color w:val="2A2928"/>
          <w:sz w:val="28"/>
          <w:szCs w:val="28"/>
        </w:rPr>
        <w:t>2. Визнати таким, що втратив чинність,</w:t>
      </w:r>
      <w:r w:rsidRPr="000D60AE">
        <w:rPr>
          <w:rStyle w:val="apple-converted-space"/>
          <w:color w:val="2A2928"/>
          <w:sz w:val="28"/>
          <w:szCs w:val="28"/>
        </w:rPr>
        <w:t> </w:t>
      </w:r>
      <w:hyperlink r:id="rId8" w:tgtFrame="_top" w:history="1">
        <w:r w:rsidRPr="000D60AE">
          <w:rPr>
            <w:rStyle w:val="a3"/>
            <w:sz w:val="28"/>
            <w:szCs w:val="28"/>
          </w:rPr>
          <w:t>наказ Міністерства надзвичайних ситуацій України від 12 грудня 2012 року N 1400 "Про затвердження Класифікаційних ознак надзвичайних ситуацій"</w:t>
        </w:r>
      </w:hyperlink>
      <w:r w:rsidRPr="000D60AE">
        <w:rPr>
          <w:color w:val="2A2928"/>
          <w:sz w:val="28"/>
          <w:szCs w:val="28"/>
        </w:rPr>
        <w:t>, зареєстрований у Міністерстві юстиції України 03 січня 2013 року за N 40/22572.</w:t>
      </w:r>
    </w:p>
    <w:p w:rsidR="000D60AE" w:rsidRPr="000D60AE" w:rsidRDefault="000D60AE" w:rsidP="000D60AE">
      <w:pPr>
        <w:pStyle w:val="tjbmf"/>
        <w:shd w:val="clear" w:color="auto" w:fill="FFFFFF"/>
        <w:spacing w:before="0" w:beforeAutospacing="0" w:after="0" w:afterAutospacing="0" w:line="360" w:lineRule="atLeast"/>
        <w:jc w:val="both"/>
        <w:rPr>
          <w:color w:val="2A2928"/>
          <w:sz w:val="28"/>
          <w:szCs w:val="28"/>
        </w:rPr>
      </w:pPr>
      <w:r w:rsidRPr="000D60AE">
        <w:rPr>
          <w:color w:val="2A2928"/>
          <w:sz w:val="28"/>
          <w:szCs w:val="28"/>
        </w:rPr>
        <w:t>3. Управлінню взаємодії з Державною службою України з надзвичайних ситуацій МВС (Скакун В. О.) забезпечити подання цього наказу на державну реєстрацію до Міністерства юстиції України в установленому порядку.</w:t>
      </w:r>
    </w:p>
    <w:p w:rsidR="000D60AE" w:rsidRPr="000D60AE" w:rsidRDefault="000D60AE" w:rsidP="000D60AE">
      <w:pPr>
        <w:pStyle w:val="tjbmf"/>
        <w:shd w:val="clear" w:color="auto" w:fill="FFFFFF"/>
        <w:spacing w:before="0" w:beforeAutospacing="0" w:after="0" w:afterAutospacing="0" w:line="360" w:lineRule="atLeast"/>
        <w:jc w:val="both"/>
        <w:rPr>
          <w:color w:val="2A2928"/>
          <w:sz w:val="28"/>
          <w:szCs w:val="28"/>
        </w:rPr>
      </w:pPr>
      <w:r w:rsidRPr="000D60AE">
        <w:rPr>
          <w:color w:val="2A2928"/>
          <w:sz w:val="28"/>
          <w:szCs w:val="28"/>
        </w:rPr>
        <w:t>4. Цей наказ набирає чинності з дня його офіційного опублікування.</w:t>
      </w:r>
    </w:p>
    <w:p w:rsidR="000D60AE" w:rsidRPr="000D60AE" w:rsidRDefault="000D60AE" w:rsidP="000D60AE">
      <w:pPr>
        <w:pStyle w:val="tj"/>
        <w:shd w:val="clear" w:color="auto" w:fill="FFFFFF"/>
        <w:spacing w:before="0" w:beforeAutospacing="0" w:after="0" w:afterAutospacing="0" w:line="360" w:lineRule="atLeast"/>
        <w:jc w:val="both"/>
        <w:rPr>
          <w:color w:val="2A2928"/>
          <w:sz w:val="28"/>
          <w:szCs w:val="28"/>
          <w:lang w:val="uk-UA"/>
        </w:rPr>
      </w:pPr>
      <w:r w:rsidRPr="000D60AE">
        <w:rPr>
          <w:color w:val="2A2928"/>
          <w:sz w:val="28"/>
          <w:szCs w:val="28"/>
        </w:rPr>
        <w:t> </w:t>
      </w:r>
    </w:p>
    <w:p w:rsidR="000D60AE" w:rsidRPr="000D60AE" w:rsidRDefault="000D60AE" w:rsidP="000D60AE">
      <w:pPr>
        <w:pStyle w:val="tj"/>
        <w:shd w:val="clear" w:color="auto" w:fill="FFFFFF"/>
        <w:spacing w:before="0" w:beforeAutospacing="0" w:after="0" w:afterAutospacing="0" w:line="360" w:lineRule="atLeast"/>
        <w:jc w:val="both"/>
        <w:rPr>
          <w:color w:val="2A2928"/>
          <w:sz w:val="28"/>
          <w:szCs w:val="28"/>
          <w:lang w:val="uk-UA"/>
        </w:rPr>
      </w:pPr>
    </w:p>
    <w:p w:rsidR="000D60AE" w:rsidRPr="000D60AE" w:rsidRDefault="000D60AE" w:rsidP="000D60AE">
      <w:pPr>
        <w:pStyle w:val="tj"/>
        <w:shd w:val="clear" w:color="auto" w:fill="FFFFFF"/>
        <w:spacing w:before="0" w:beforeAutospacing="0" w:after="0" w:afterAutospacing="0" w:line="360" w:lineRule="atLeast"/>
        <w:jc w:val="both"/>
        <w:rPr>
          <w:color w:val="2A2928"/>
          <w:sz w:val="28"/>
          <w:szCs w:val="28"/>
          <w:lang w:val="uk-UA"/>
        </w:rPr>
      </w:pPr>
    </w:p>
    <w:p w:rsidR="000D60AE" w:rsidRPr="000D60AE" w:rsidRDefault="000D60AE" w:rsidP="000D60AE">
      <w:pPr>
        <w:pStyle w:val="tj"/>
        <w:shd w:val="clear" w:color="auto" w:fill="FFFFFF"/>
        <w:spacing w:before="0" w:beforeAutospacing="0" w:after="0" w:afterAutospacing="0" w:line="360" w:lineRule="atLeast"/>
        <w:jc w:val="both"/>
        <w:rPr>
          <w:color w:val="2A2928"/>
          <w:sz w:val="28"/>
          <w:szCs w:val="28"/>
          <w:lang w:val="uk-UA"/>
        </w:rPr>
      </w:pPr>
    </w:p>
    <w:tbl>
      <w:tblPr>
        <w:tblW w:w="5000" w:type="pct"/>
        <w:tblCellSpacing w:w="22" w:type="dxa"/>
        <w:tblCellMar>
          <w:top w:w="105" w:type="dxa"/>
          <w:left w:w="810" w:type="dxa"/>
          <w:bottom w:w="105" w:type="dxa"/>
          <w:right w:w="810" w:type="dxa"/>
        </w:tblCellMar>
        <w:tblLook w:val="04A0"/>
      </w:tblPr>
      <w:tblGrid>
        <w:gridCol w:w="4721"/>
        <w:gridCol w:w="4722"/>
      </w:tblGrid>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Т. в. о. Міністра</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С. А. Яровий</w:t>
            </w:r>
          </w:p>
        </w:tc>
      </w:tr>
      <w:tr w:rsidR="000D60AE" w:rsidRPr="000D60AE" w:rsidTr="000D60AE">
        <w:trPr>
          <w:tblCellSpacing w:w="22" w:type="dxa"/>
        </w:trPr>
        <w:tc>
          <w:tcPr>
            <w:tcW w:w="2500" w:type="pct"/>
            <w:tcMar>
              <w:top w:w="0" w:type="dxa"/>
              <w:left w:w="0" w:type="dxa"/>
              <w:bottom w:w="0" w:type="dxa"/>
              <w:right w:w="0" w:type="dxa"/>
            </w:tcMar>
            <w:vAlign w:val="bottom"/>
          </w:tcPr>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b/>
                <w:bCs/>
                <w:sz w:val="28"/>
                <w:szCs w:val="28"/>
                <w:lang w:val="uk-UA"/>
              </w:rPr>
            </w:pPr>
          </w:p>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ПОГОДЖЕНО:</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sz w:val="28"/>
                <w:szCs w:val="28"/>
              </w:rPr>
              <w:lastRenderedPageBreak/>
              <w:t> </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lastRenderedPageBreak/>
              <w:t>Заступник Голови</w:t>
            </w:r>
            <w:r w:rsidRPr="000D60AE">
              <w:rPr>
                <w:b/>
                <w:bCs/>
                <w:sz w:val="28"/>
                <w:szCs w:val="28"/>
              </w:rPr>
              <w:br/>
              <w:t>Державного агентства</w:t>
            </w:r>
            <w:r w:rsidRPr="000D60AE">
              <w:rPr>
                <w:b/>
                <w:bCs/>
                <w:sz w:val="28"/>
                <w:szCs w:val="28"/>
              </w:rPr>
              <w:br/>
            </w:r>
            <w:proofErr w:type="gramStart"/>
            <w:r w:rsidRPr="000D60AE">
              <w:rPr>
                <w:b/>
                <w:bCs/>
                <w:sz w:val="28"/>
                <w:szCs w:val="28"/>
              </w:rPr>
              <w:t>л</w:t>
            </w:r>
            <w:proofErr w:type="gramEnd"/>
            <w:r w:rsidRPr="000D60AE">
              <w:rPr>
                <w:b/>
                <w:bCs/>
                <w:sz w:val="28"/>
                <w:szCs w:val="28"/>
              </w:rPr>
              <w:t>ісових ресурсів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В. Н. Бондар</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Голова Державного агентства</w:t>
            </w:r>
            <w:r w:rsidRPr="000D60AE">
              <w:rPr>
                <w:b/>
                <w:bCs/>
                <w:sz w:val="28"/>
                <w:szCs w:val="28"/>
              </w:rPr>
              <w:br/>
              <w:t>водних ресурсів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І. Овчаренко</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Голова</w:t>
            </w:r>
            <w:proofErr w:type="gramStart"/>
            <w:r w:rsidRPr="000D60AE">
              <w:rPr>
                <w:b/>
                <w:bCs/>
                <w:sz w:val="28"/>
                <w:szCs w:val="28"/>
              </w:rPr>
              <w:t xml:space="preserve"> Д</w:t>
            </w:r>
            <w:proofErr w:type="gramEnd"/>
            <w:r w:rsidRPr="000D60AE">
              <w:rPr>
                <w:b/>
                <w:bCs/>
                <w:sz w:val="28"/>
                <w:szCs w:val="28"/>
              </w:rPr>
              <w:t>ержавної служби України</w:t>
            </w:r>
            <w:r w:rsidRPr="000D60AE">
              <w:rPr>
                <w:b/>
                <w:bCs/>
                <w:sz w:val="28"/>
                <w:szCs w:val="28"/>
              </w:rPr>
              <w:br/>
              <w:t>з питань безпечності харчових</w:t>
            </w:r>
            <w:r w:rsidRPr="000D60AE">
              <w:rPr>
                <w:b/>
                <w:bCs/>
                <w:sz w:val="28"/>
                <w:szCs w:val="28"/>
              </w:rPr>
              <w:br/>
              <w:t>продуктів та захисту споживачів</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В. Лапа</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 xml:space="preserve">Т. </w:t>
            </w:r>
            <w:proofErr w:type="gramStart"/>
            <w:r w:rsidRPr="000D60AE">
              <w:rPr>
                <w:b/>
                <w:bCs/>
                <w:sz w:val="28"/>
                <w:szCs w:val="28"/>
              </w:rPr>
              <w:t>в</w:t>
            </w:r>
            <w:proofErr w:type="gramEnd"/>
            <w:r w:rsidRPr="000D60AE">
              <w:rPr>
                <w:b/>
                <w:bCs/>
                <w:sz w:val="28"/>
                <w:szCs w:val="28"/>
              </w:rPr>
              <w:t>. о. Голови Державної служби</w:t>
            </w:r>
            <w:r w:rsidRPr="000D60AE">
              <w:rPr>
                <w:b/>
                <w:bCs/>
                <w:sz w:val="28"/>
                <w:szCs w:val="28"/>
              </w:rPr>
              <w:br/>
              <w:t>геології та надр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О. В. Кирилюк</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Голова Національної поліції України</w:t>
            </w:r>
            <w:r w:rsidRPr="000D60AE">
              <w:rPr>
                <w:b/>
                <w:bCs/>
                <w:sz w:val="28"/>
                <w:szCs w:val="28"/>
              </w:rPr>
              <w:br/>
              <w:t xml:space="preserve">генерал поліції </w:t>
            </w:r>
            <w:proofErr w:type="gramStart"/>
            <w:r w:rsidRPr="000D60AE">
              <w:rPr>
                <w:b/>
                <w:bCs/>
                <w:sz w:val="28"/>
                <w:szCs w:val="28"/>
              </w:rPr>
              <w:t>другого</w:t>
            </w:r>
            <w:proofErr w:type="gramEnd"/>
            <w:r w:rsidRPr="000D60AE">
              <w:rPr>
                <w:b/>
                <w:bCs/>
                <w:sz w:val="28"/>
                <w:szCs w:val="28"/>
              </w:rPr>
              <w:t xml:space="preserve"> рангу</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С. М. Князєв</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В. о. Міністра охорони</w:t>
            </w:r>
            <w:r w:rsidRPr="000D60AE">
              <w:rPr>
                <w:b/>
                <w:bCs/>
                <w:sz w:val="28"/>
                <w:szCs w:val="28"/>
              </w:rPr>
              <w:br/>
              <w:t>здоров'я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У. Супрун</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Міні</w:t>
            </w:r>
            <w:proofErr w:type="gramStart"/>
            <w:r w:rsidRPr="000D60AE">
              <w:rPr>
                <w:b/>
                <w:bCs/>
                <w:sz w:val="28"/>
                <w:szCs w:val="28"/>
              </w:rPr>
              <w:t>стр</w:t>
            </w:r>
            <w:proofErr w:type="gramEnd"/>
            <w:r w:rsidRPr="000D60AE">
              <w:rPr>
                <w:b/>
                <w:bCs/>
                <w:sz w:val="28"/>
                <w:szCs w:val="28"/>
              </w:rPr>
              <w:t xml:space="preserve"> оборони України</w:t>
            </w:r>
            <w:r w:rsidRPr="000D60AE">
              <w:rPr>
                <w:b/>
                <w:bCs/>
                <w:sz w:val="28"/>
                <w:szCs w:val="28"/>
              </w:rPr>
              <w:br/>
              <w:t>генерал армії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С. Т. Полторак</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Заступник Міністра регіонального</w:t>
            </w:r>
            <w:r w:rsidRPr="000D60AE">
              <w:rPr>
                <w:b/>
                <w:bCs/>
                <w:sz w:val="28"/>
                <w:szCs w:val="28"/>
              </w:rPr>
              <w:br/>
              <w:t>розвитку, будівництва та</w:t>
            </w:r>
            <w:r w:rsidRPr="000D60AE">
              <w:rPr>
                <w:b/>
                <w:bCs/>
                <w:sz w:val="28"/>
                <w:szCs w:val="28"/>
              </w:rPr>
              <w:br/>
              <w:t>житлово-комунального</w:t>
            </w:r>
            <w:r w:rsidRPr="000D60AE">
              <w:rPr>
                <w:b/>
                <w:bCs/>
                <w:sz w:val="28"/>
                <w:szCs w:val="28"/>
              </w:rPr>
              <w:br/>
              <w:t>господарства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Л. Р. Парцхаладзе</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Міні</w:t>
            </w:r>
            <w:proofErr w:type="gramStart"/>
            <w:r w:rsidRPr="000D60AE">
              <w:rPr>
                <w:b/>
                <w:bCs/>
                <w:sz w:val="28"/>
                <w:szCs w:val="28"/>
              </w:rPr>
              <w:t>стр</w:t>
            </w:r>
            <w:proofErr w:type="gramEnd"/>
            <w:r w:rsidRPr="000D60AE">
              <w:rPr>
                <w:b/>
                <w:bCs/>
                <w:sz w:val="28"/>
                <w:szCs w:val="28"/>
              </w:rPr>
              <w:t xml:space="preserve"> енергетики та вугільної</w:t>
            </w:r>
            <w:r w:rsidRPr="000D60AE">
              <w:rPr>
                <w:b/>
                <w:bCs/>
                <w:sz w:val="28"/>
                <w:szCs w:val="28"/>
              </w:rPr>
              <w:br/>
              <w:t>промисловості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І. Насалик</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В. о. Голови Державного агентства України з управління зоною відчуження</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О. І. Насвіт</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Перший заступник Голови</w:t>
            </w:r>
            <w:r w:rsidRPr="000D60AE">
              <w:rPr>
                <w:b/>
                <w:bCs/>
                <w:sz w:val="28"/>
                <w:szCs w:val="28"/>
              </w:rPr>
              <w:br/>
              <w:t>Служби безпеки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П. Демчина</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Голова</w:t>
            </w:r>
            <w:proofErr w:type="gramStart"/>
            <w:r w:rsidRPr="000D60AE">
              <w:rPr>
                <w:b/>
                <w:bCs/>
                <w:sz w:val="28"/>
                <w:szCs w:val="28"/>
              </w:rPr>
              <w:t xml:space="preserve"> Д</w:t>
            </w:r>
            <w:proofErr w:type="gramEnd"/>
            <w:r w:rsidRPr="000D60AE">
              <w:rPr>
                <w:b/>
                <w:bCs/>
                <w:sz w:val="28"/>
                <w:szCs w:val="28"/>
              </w:rPr>
              <w:t>ержавної служби</w:t>
            </w:r>
            <w:r w:rsidRPr="000D60AE">
              <w:rPr>
                <w:b/>
                <w:bCs/>
                <w:sz w:val="28"/>
                <w:szCs w:val="28"/>
              </w:rPr>
              <w:br/>
              <w:t>України з надзвичайних ситуацій</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М. Чечоткін</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Перший заступник Міністра</w:t>
            </w:r>
            <w:r w:rsidRPr="000D60AE">
              <w:rPr>
                <w:b/>
                <w:bCs/>
                <w:sz w:val="28"/>
                <w:szCs w:val="28"/>
              </w:rPr>
              <w:br/>
              <w:t>аграрної політики та</w:t>
            </w:r>
            <w:r w:rsidRPr="000D60AE">
              <w:rPr>
                <w:b/>
                <w:bCs/>
                <w:sz w:val="28"/>
                <w:szCs w:val="28"/>
              </w:rPr>
              <w:br/>
              <w:t>продовольства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М. Мартинюк</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В. о. Міністра екології та</w:t>
            </w:r>
            <w:r w:rsidRPr="000D60AE">
              <w:rPr>
                <w:b/>
                <w:bCs/>
                <w:sz w:val="28"/>
                <w:szCs w:val="28"/>
              </w:rPr>
              <w:br/>
            </w:r>
            <w:r w:rsidRPr="000D60AE">
              <w:rPr>
                <w:b/>
                <w:bCs/>
                <w:sz w:val="28"/>
                <w:szCs w:val="28"/>
              </w:rPr>
              <w:lastRenderedPageBreak/>
              <w:t>природних ресурсів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lastRenderedPageBreak/>
              <w:t>В. М. Вакараш</w:t>
            </w:r>
          </w:p>
        </w:tc>
      </w:tr>
      <w:tr w:rsidR="000D60AE" w:rsidRPr="000D60AE" w:rsidTr="000D60AE">
        <w:trPr>
          <w:tblCellSpacing w:w="22" w:type="dxa"/>
        </w:trPr>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lastRenderedPageBreak/>
              <w:t>В. о. Міністра інфраструктури України</w:t>
            </w:r>
          </w:p>
        </w:tc>
        <w:tc>
          <w:tcPr>
            <w:tcW w:w="2500" w:type="pct"/>
            <w:tcMar>
              <w:top w:w="0" w:type="dxa"/>
              <w:left w:w="0" w:type="dxa"/>
              <w:bottom w:w="0" w:type="dxa"/>
              <w:right w:w="0" w:type="dxa"/>
            </w:tcMar>
            <w:vAlign w:val="bottom"/>
            <w:hideMark/>
          </w:tcPr>
          <w:p w:rsidR="000D60AE" w:rsidRPr="000D60AE" w:rsidRDefault="000D60AE">
            <w:pPr>
              <w:pStyle w:val="tc"/>
              <w:spacing w:before="0" w:beforeAutospacing="0" w:after="0" w:afterAutospacing="0" w:line="360" w:lineRule="atLeast"/>
              <w:jc w:val="center"/>
              <w:rPr>
                <w:sz w:val="28"/>
                <w:szCs w:val="28"/>
              </w:rPr>
            </w:pPr>
            <w:r w:rsidRPr="000D60AE">
              <w:rPr>
                <w:b/>
                <w:bCs/>
                <w:sz w:val="28"/>
                <w:szCs w:val="28"/>
              </w:rPr>
              <w:t>Ю. Лавренюк</w:t>
            </w:r>
          </w:p>
        </w:tc>
      </w:tr>
    </w:tbl>
    <w:p w:rsidR="000D60AE" w:rsidRPr="000D60AE" w:rsidRDefault="000D60AE" w:rsidP="000D60AE">
      <w:pPr>
        <w:pStyle w:val="tj"/>
        <w:shd w:val="clear" w:color="auto" w:fill="FFFFFF"/>
        <w:spacing w:before="0" w:beforeAutospacing="0" w:after="0" w:afterAutospacing="0" w:line="360" w:lineRule="atLeast"/>
        <w:jc w:val="both"/>
        <w:rPr>
          <w:color w:val="2A2928"/>
          <w:sz w:val="28"/>
          <w:szCs w:val="28"/>
        </w:rPr>
      </w:pPr>
      <w:r w:rsidRPr="000D60AE">
        <w:rPr>
          <w:color w:val="2A2928"/>
          <w:sz w:val="28"/>
          <w:szCs w:val="28"/>
        </w:rPr>
        <w:t> </w:t>
      </w:r>
    </w:p>
    <w:p w:rsidR="000D60AE" w:rsidRPr="000D60AE" w:rsidRDefault="000D60AE" w:rsidP="000D60AE">
      <w:pPr>
        <w:pStyle w:val="tlreflinkmrw45"/>
        <w:shd w:val="clear" w:color="auto" w:fill="FFFFFF"/>
        <w:spacing w:before="0" w:beforeAutospacing="0" w:after="0" w:afterAutospacing="0" w:line="360" w:lineRule="atLeast"/>
        <w:rPr>
          <w:color w:val="2A2928"/>
          <w:sz w:val="28"/>
          <w:szCs w:val="28"/>
        </w:rPr>
      </w:pPr>
      <w:r w:rsidRPr="000D60AE">
        <w:rPr>
          <w:color w:val="2A2928"/>
          <w:sz w:val="28"/>
          <w:szCs w:val="28"/>
        </w:rPr>
        <w:t>ЗАТВЕРДЖЕНО</w:t>
      </w:r>
      <w:r w:rsidRPr="000D60AE">
        <w:rPr>
          <w:color w:val="2A2928"/>
          <w:sz w:val="28"/>
          <w:szCs w:val="28"/>
        </w:rPr>
        <w:br/>
        <w:t>Наказ Міністерства внутрішніх справ України</w:t>
      </w:r>
      <w:r w:rsidRPr="000D60AE">
        <w:rPr>
          <w:color w:val="2A2928"/>
          <w:sz w:val="28"/>
          <w:szCs w:val="28"/>
        </w:rPr>
        <w:br/>
        <w:t>06 серпня 2018 року N 658</w:t>
      </w:r>
    </w:p>
    <w:p w:rsidR="000D60AE" w:rsidRPr="000D60AE" w:rsidRDefault="000D60AE" w:rsidP="000D60AE">
      <w:pPr>
        <w:pStyle w:val="tlreflinkmrw45"/>
        <w:shd w:val="clear" w:color="auto" w:fill="FFFFFF"/>
        <w:spacing w:before="0" w:beforeAutospacing="0" w:after="0" w:afterAutospacing="0" w:line="360" w:lineRule="atLeast"/>
        <w:rPr>
          <w:color w:val="2A2928"/>
          <w:sz w:val="28"/>
          <w:szCs w:val="28"/>
        </w:rPr>
      </w:pPr>
      <w:r w:rsidRPr="000D60AE">
        <w:rPr>
          <w:color w:val="2A2928"/>
          <w:sz w:val="28"/>
          <w:szCs w:val="28"/>
        </w:rPr>
        <w:t>Зареєстровано</w:t>
      </w:r>
      <w:r w:rsidRPr="000D60AE">
        <w:rPr>
          <w:color w:val="2A2928"/>
          <w:sz w:val="28"/>
          <w:szCs w:val="28"/>
        </w:rPr>
        <w:br/>
        <w:t>в Міністерстві юстиції України</w:t>
      </w:r>
      <w:r w:rsidRPr="000D60AE">
        <w:rPr>
          <w:color w:val="2A2928"/>
          <w:sz w:val="28"/>
          <w:szCs w:val="28"/>
        </w:rPr>
        <w:br/>
        <w:t>28 серпня 2018 року за N 969/32421</w:t>
      </w:r>
    </w:p>
    <w:p w:rsidR="000D60AE" w:rsidRPr="000D60AE" w:rsidRDefault="000D60AE" w:rsidP="000D60AE">
      <w:pPr>
        <w:pStyle w:val="2"/>
        <w:shd w:val="clear" w:color="auto" w:fill="FFFFFF"/>
        <w:spacing w:before="0" w:beforeAutospacing="0" w:after="0" w:afterAutospacing="0" w:line="510" w:lineRule="atLeast"/>
        <w:jc w:val="center"/>
        <w:rPr>
          <w:bCs w:val="0"/>
          <w:color w:val="2A2928"/>
          <w:sz w:val="28"/>
          <w:szCs w:val="28"/>
        </w:rPr>
      </w:pPr>
      <w:r w:rsidRPr="000D60AE">
        <w:rPr>
          <w:bCs w:val="0"/>
          <w:color w:val="2A2928"/>
          <w:sz w:val="28"/>
          <w:szCs w:val="28"/>
        </w:rPr>
        <w:t>КЛАСИФІКАЦІЙНІ ОЗНАКИ НАДЗВИЧАЙНИХ СИТУАЦІЙ</w:t>
      </w:r>
    </w:p>
    <w:tbl>
      <w:tblPr>
        <w:tblW w:w="5038" w:type="pct"/>
        <w:tblInd w:w="-36" w:type="dxa"/>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305"/>
        <w:gridCol w:w="2552"/>
        <w:gridCol w:w="816"/>
        <w:gridCol w:w="703"/>
        <w:gridCol w:w="2374"/>
        <w:gridCol w:w="2692"/>
      </w:tblGrid>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N</w:t>
            </w:r>
            <w:r w:rsidRPr="000D60AE">
              <w:br/>
              <w:t>з/</w:t>
            </w:r>
            <w:proofErr w:type="gramStart"/>
            <w:r w:rsidRPr="000D60AE">
              <w:t>п</w:t>
            </w:r>
            <w:proofErr w:type="gramEnd"/>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Опис ознаки</w:t>
            </w:r>
            <w:r w:rsidRPr="000D60AE">
              <w:br/>
              <w:t>(стислий опис ситуації, випадку, події, пригоди, аварії, явища)</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Одиниця виміру показника ознаки</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Порогове значення показника ознаки</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Примітки</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rPr>
                <w:b/>
                <w:bCs/>
              </w:rPr>
              <w:t>I</w:t>
            </w:r>
          </w:p>
        </w:tc>
        <w:tc>
          <w:tcPr>
            <w:tcW w:w="4839"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rPr>
                <w:b/>
                <w:bCs/>
              </w:rPr>
              <w:t xml:space="preserve">Надзвичайні ситуації </w:t>
            </w:r>
            <w:proofErr w:type="gramStart"/>
            <w:r w:rsidRPr="000D60AE">
              <w:rPr>
                <w:b/>
                <w:bCs/>
              </w:rPr>
              <w:t>техногенного</w:t>
            </w:r>
            <w:proofErr w:type="gramEnd"/>
            <w:r w:rsidRPr="000D60AE">
              <w:rPr>
                <w:b/>
                <w:bCs/>
              </w:rPr>
              <w:t xml:space="preserve"> характеру</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Загибель або травмування людей (персоналу) внаслідок пожеж і вибухів (крім випадків пожеж і вибухів у житлових будівлях та спорудах), руйнування </w:t>
            </w:r>
            <w:proofErr w:type="gramStart"/>
            <w:r w:rsidRPr="000D60AE">
              <w:t>п</w:t>
            </w:r>
            <w:proofErr w:type="gramEnd"/>
            <w:r w:rsidRPr="000D60AE">
              <w:t>ідземних споруд (у тому числі обрушення покрівель гірничих виробок у шахтах)</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Особа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Загинуло від 2 </w:t>
            </w:r>
            <w:proofErr w:type="gramStart"/>
            <w:r w:rsidRPr="000D60AE">
              <w:t>осіб</w:t>
            </w:r>
            <w:proofErr w:type="gramEnd"/>
            <w:r w:rsidRPr="000D60AE">
              <w:t>, постраждало (травмовано) від 5 осіб</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Загибель або травмування людей (персоналу) внаслідок аварій, катастроф, аварійних подій (крім випадків дорожньо-транспортних пригод (ДТП)), інших небезпечних подій (</w:t>
            </w:r>
            <w:proofErr w:type="gramStart"/>
            <w:r w:rsidRPr="000D60AE">
              <w:t>у</w:t>
            </w:r>
            <w:proofErr w:type="gramEnd"/>
            <w:r w:rsidRPr="000D60AE">
              <w:t xml:space="preserve"> тому числі нещасних випадків)</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Загинуло від 3 </w:t>
            </w:r>
            <w:proofErr w:type="gramStart"/>
            <w:r w:rsidRPr="000D60AE">
              <w:t>осіб</w:t>
            </w:r>
            <w:proofErr w:type="gramEnd"/>
            <w:r w:rsidRPr="000D60AE">
              <w:t>, постраждало (травмовано) від 10 осіб</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 xml:space="preserve">Загибель, отруєння або травмування людей внаслідок вибухів та пожеж (у тому числі внаслідок отруєння чадним газом) у спорудах житлового призначення (побутові </w:t>
            </w:r>
            <w:r w:rsidRPr="000D60AE">
              <w:lastRenderedPageBreak/>
              <w:t>пожежі)</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Загинуло від 3 </w:t>
            </w:r>
            <w:proofErr w:type="gramStart"/>
            <w:r w:rsidRPr="000D60AE">
              <w:t>осіб</w:t>
            </w:r>
            <w:proofErr w:type="gramEnd"/>
            <w:r w:rsidRPr="000D60AE">
              <w:t>, постраждало від 10 осіб</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Загибель або травмування людей внаслідок ДТП</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Загинуло від 5 </w:t>
            </w:r>
            <w:proofErr w:type="gramStart"/>
            <w:r w:rsidRPr="000D60AE">
              <w:t>осіб</w:t>
            </w:r>
            <w:proofErr w:type="gramEnd"/>
            <w:r w:rsidRPr="000D60AE">
              <w:t>, постраждало (травмовано) від 15 осіб</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Аварії на транспорті з посадовою особою органу державної влади (Президент України, Голова Верховної Ради України, Прем'єр-міні</w:t>
            </w:r>
            <w:proofErr w:type="gramStart"/>
            <w:r w:rsidRPr="000D60AE">
              <w:t>стр</w:t>
            </w:r>
            <w:proofErr w:type="gramEnd"/>
            <w:r w:rsidRPr="000D60AE">
              <w:t xml:space="preserve"> України) або народним депутатом України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Виникнення безпосередньої загрози життю людей небезпечними (уражальними) чинниками джерела небезпечної ситуації (аварії, події), що призвело до екстреної евакуації понад 50 </w:t>
            </w:r>
            <w:proofErr w:type="gramStart"/>
            <w:r w:rsidRPr="000D60AE">
              <w:t>осіб</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За винятком тимчасового відведення людей на безпечну відстань при проведенні планових робіт із вилучення вибухонебезпечних предметі</w:t>
            </w:r>
            <w:proofErr w:type="gramStart"/>
            <w:r w:rsidRPr="000D60AE">
              <w:t>в</w:t>
            </w:r>
            <w:proofErr w:type="gramEnd"/>
          </w:p>
        </w:tc>
      </w:tr>
      <w:tr w:rsidR="000D60AE" w:rsidRPr="000D60AE" w:rsidTr="000D60AE">
        <w:tc>
          <w:tcPr>
            <w:tcW w:w="12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Викид небезпечної хімічної речовини (НХР), що має відповідний клас небезпеки (відповідний ступінь токсичності), до якої відноситься небезпечний вантаж (або викид з технологічного обладнання об'єкта), що може створити або створює фактори ураження для персоналу транспортного засобу (об'єкта), населення або інших об'єктів навколишнього середовища</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123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Для випадків викиду НХР у замкнутих приміщеннях порогові значення збільшуються удвічі</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1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Тонна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0,01</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2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0,05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3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4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Викид з транспортного </w:t>
            </w:r>
            <w:r w:rsidRPr="000D60AE">
              <w:lastRenderedPageBreak/>
              <w:t xml:space="preserve">засобу радіоактивних речовин (РР) або пошкодження вантажу РР (упаковка, контейнер тощо), </w:t>
            </w:r>
            <w:proofErr w:type="gramStart"/>
            <w:r w:rsidRPr="000D60AE">
              <w:t>пов'язан</w:t>
            </w:r>
            <w:proofErr w:type="gramEnd"/>
            <w:r w:rsidRPr="000D60AE">
              <w:t>і з транспортною подією (аварією, пожежею чи іншою небезпечною подією)</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Пошкодження вантажу або розгерметизація обладнання з біологічно небезпечними речовинами (БНР)</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Катастрофа на залізничному транспорті (у тому числі метрополітені), що призвела до зіткнення пасажирських або вантажних поїздів з іншими поїздами або рухомим складом залізничного транспорту, сходження рухомого складу в пасажирських або вантажних поїздах на перегонах і станціях, а також до загибелі та/або травмування людей</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Особа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Загинуло від 3 </w:t>
            </w:r>
            <w:proofErr w:type="gramStart"/>
            <w:r w:rsidRPr="000D60AE">
              <w:t>осіб</w:t>
            </w:r>
            <w:proofErr w:type="gramEnd"/>
            <w:r w:rsidRPr="000D60AE">
              <w:t>, постраждало (травмовано) від 10 осіб</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Катастрофа на залізничному транспорті (у тому числі метрополітені), що призвела до зіткнення пасажирських або вантажних поїздів з іншими поїздами або рухомим складом залізничного транспорту, сходження рухомого складу в пасажирських або вантажних поїздах на перегонах і станціях, а також до пошкодження рухомого складу залізничного транспорту до ступеня виключення його з інвентарного парку</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Одиниця</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3 (від 1 для метрополітену)</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12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Вибух (пожежа) </w:t>
            </w:r>
            <w:proofErr w:type="gramStart"/>
            <w:r w:rsidRPr="000D60AE">
              <w:t>п</w:t>
            </w:r>
            <w:proofErr w:type="gramEnd"/>
            <w:r w:rsidRPr="000D60AE">
              <w:t>ід час руху транспортного засобу з вибухонебезпечними (легкозаймистими) речовинами, НХР або нафтопродуктами (з пошкодженням ємностей (цистерна, контейнер, упаковка тощо) небезпечного вантажу)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руху канатної дороги </w:t>
            </w:r>
            <w:proofErr w:type="gramStart"/>
            <w:r w:rsidRPr="000D60AE">
              <w:t>п</w:t>
            </w:r>
            <w:proofErr w:type="gramEnd"/>
            <w:r w:rsidRPr="000D60AE">
              <w:t>ід час перебування на ній людей (у холодний період року)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 (2)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Дуже серйозна аварія (катастрофа), що спричинила загибель судна, або затоплення судна, або вимушене залишення судна членами екіпажу та пасажирами через пошкодження корпусу і втрату остійності </w:t>
            </w:r>
            <w:proofErr w:type="gramStart"/>
            <w:r w:rsidRPr="000D60AE">
              <w:t>п</w:t>
            </w:r>
            <w:proofErr w:type="gramEnd"/>
            <w:r w:rsidRPr="000D60AE">
              <w:t>ід час руху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Положення про класифікацію, порядок розслідування та </w:t>
            </w:r>
            <w:proofErr w:type="gramStart"/>
            <w:r w:rsidRPr="000D60AE">
              <w:t>обл</w:t>
            </w:r>
            <w:proofErr w:type="gramEnd"/>
            <w:r w:rsidRPr="000D60AE">
              <w:t>іку аварійних морських подій із суднами, затверджене</w:t>
            </w:r>
            <w:hyperlink r:id="rId9" w:tgtFrame="_top" w:history="1">
              <w:r w:rsidRPr="000D60AE">
                <w:rPr>
                  <w:rStyle w:val="a3"/>
                </w:rPr>
                <w:t>наказом Міністерства транспорту та зв'язку України від 29 травня 2006 року N 516</w:t>
              </w:r>
            </w:hyperlink>
            <w:r w:rsidRPr="000D60AE">
              <w:t>, зареєстроване в Міністерстві юстиції України 09 серпня 2006 року за N 959/12833.</w:t>
            </w:r>
            <w:r w:rsidRPr="000D60AE">
              <w:br/>
              <w:t>Дія цієї ознаки поширюється на пасажирські судна з кількістю пасажирі</w:t>
            </w:r>
            <w:proofErr w:type="gramStart"/>
            <w:r w:rsidRPr="000D60AE">
              <w:t>в</w:t>
            </w:r>
            <w:proofErr w:type="gramEnd"/>
            <w:r w:rsidRPr="000D60AE">
              <w:t xml:space="preserve"> більше 10, а також на судна та катери спеціального призначення (військові, пожежні, водолазні, буксири, криголами)</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Серйозна аварія, що спричинила простій на </w:t>
            </w:r>
            <w:proofErr w:type="gramStart"/>
            <w:r w:rsidRPr="000D60AE">
              <w:t>м</w:t>
            </w:r>
            <w:proofErr w:type="gramEnd"/>
            <w:r w:rsidRPr="000D60AE">
              <w:t>ілині пасажирських суден понад 12 годин</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Дуже серйозна аварія (катастрофа), що спричинила забруднення довкілля (покриття </w:t>
            </w:r>
            <w:proofErr w:type="gramStart"/>
            <w:r w:rsidRPr="000D60AE">
              <w:t>пл</w:t>
            </w:r>
            <w:proofErr w:type="gramEnd"/>
            <w:r w:rsidRPr="000D60AE">
              <w:t xml:space="preserve">івкою (нафтовою, масляною та іншого походження) більше 1/3 поверхні </w:t>
            </w:r>
            <w:r w:rsidRPr="000D60AE">
              <w:lastRenderedPageBreak/>
              <w:t>водного об'єкта за його видимої площі до 6 кв. км або більше 2 кв. км поверхні водного об'єкта за його видимої площі більше 6 кв. км) унаслідок пошкодження судна або суден під час їх експлуатації або у зв'язку з нею</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17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Авіаційна подія (катастрофа) з людськими жертвами, що призвела до загибелі або зникнення безвісти когось із пасажирів, члені</w:t>
            </w:r>
            <w:proofErr w:type="gramStart"/>
            <w:r w:rsidRPr="000D60AE">
              <w:t>в ек</w:t>
            </w:r>
            <w:proofErr w:type="gramEnd"/>
            <w:r w:rsidRPr="000D60AE">
              <w:t>іпажу або третіх осіб, а також отримання ними тілесних ушкоджень, що призвели до смерті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руху автомобільного транспорту на автомобільних дорогах </w:t>
            </w:r>
            <w:proofErr w:type="gramStart"/>
            <w:r w:rsidRPr="000D60AE">
              <w:t>державного</w:t>
            </w:r>
            <w:proofErr w:type="gramEnd"/>
            <w:r w:rsidRPr="000D60AE">
              <w:t xml:space="preserve"> значення внаслідок аварії транспорту (у разі якщо вона призвела до руйнування транспортних комунікацій та споруд)</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12 (6)</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Класифікація автомобільних доріг загального користування визначається</w:t>
            </w:r>
            <w:hyperlink r:id="rId10" w:tgtFrame="_top" w:history="1">
              <w:r w:rsidRPr="000D60AE">
                <w:rPr>
                  <w:rStyle w:val="a3"/>
                </w:rPr>
                <w:t>Законом України "Про автомобільні дороги"</w:t>
              </w:r>
            </w:hyperlink>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Погіршення життєзабезпечення людей внаслідок припинення руху автомобільного транспорту на обласних автомобільних дорогах </w:t>
            </w:r>
            <w:proofErr w:type="gramStart"/>
            <w:r w:rsidRPr="000D60AE">
              <w:t>м</w:t>
            </w:r>
            <w:proofErr w:type="gramEnd"/>
            <w:r w:rsidRPr="000D60AE">
              <w:t>ісцевого значення через аварію транспорту, що призвела до руйнування транспортних комунікацій та споруд (за неможливості об'їзду місця події іншими дорогами)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24 (6)</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 xml:space="preserve">Погіршення життєзабезпечення людей внаслідок припинення руху </w:t>
            </w:r>
            <w:r w:rsidRPr="000D60AE">
              <w:lastRenderedPageBreak/>
              <w:t>автомобільного транспорту на автомобільних дорогах державного значення або на обласних автомобільних дорогах місцевого значення через руйнування мостів, тунелів, шляхопроводів, естакад (за неможливості об'їзду місця події іншими дорогами) (в умовах дуже сильного морозу або дуже сильної спеки)</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Година (Факт)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24 (1)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21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Руйнування залізничних мостів, шляхопроводів, тунелі</w:t>
            </w:r>
            <w:proofErr w:type="gramStart"/>
            <w:r w:rsidRPr="000D60AE">
              <w:t>в</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Розгерметизація магістрального нафтопроводу (продуктопроводу, етиленопроводу) або його елементів з витоком нафти (нафтопродуктів, етилену) на рельєф місцевості </w:t>
            </w:r>
            <w:proofErr w:type="gramStart"/>
            <w:r w:rsidRPr="000D60AE">
              <w:t>за</w:t>
            </w:r>
            <w:proofErr w:type="gramEnd"/>
            <w:r w:rsidRPr="000D60AE">
              <w:t xml:space="preserve"> межі охоронної зони магістрального нафтопроводу (продуктопроводу, етиленопроводу)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подачі газу внаслідок аварії </w:t>
            </w:r>
            <w:proofErr w:type="gramStart"/>
            <w:r w:rsidRPr="000D60AE">
              <w:t>на</w:t>
            </w:r>
            <w:proofErr w:type="gramEnd"/>
            <w:r w:rsidRPr="000D60AE">
              <w:t xml:space="preserve"> </w:t>
            </w:r>
            <w:proofErr w:type="gramStart"/>
            <w:r w:rsidRPr="000D60AE">
              <w:t>маг</w:t>
            </w:r>
            <w:proofErr w:type="gramEnd"/>
            <w:r w:rsidRPr="000D60AE">
              <w:t>істральному газопроводі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18</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Руйнування </w:t>
            </w:r>
            <w:proofErr w:type="gramStart"/>
            <w:r w:rsidRPr="000D60AE">
              <w:t>п</w:t>
            </w:r>
            <w:proofErr w:type="gramEnd"/>
            <w:r w:rsidRPr="000D60AE">
              <w:t>ідприємства (об'єктів підприємства) промислового (агропромислового) виробництва внаслідок виходу з ладу газового обладнання через аварію на газопроводі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Пожежа (вибух), для ліквідації якої (якого), крім сил та засобів пожежно-рятувальних </w:t>
            </w:r>
            <w:proofErr w:type="gramStart"/>
            <w:r w:rsidRPr="000D60AE">
              <w:t>п</w:t>
            </w:r>
            <w:proofErr w:type="gramEnd"/>
            <w:r w:rsidRPr="000D60AE">
              <w:t xml:space="preserve">ідрозділів або інших аварійно-рятувальних </w:t>
            </w:r>
            <w:r w:rsidRPr="000D60AE">
              <w:lastRenderedPageBreak/>
              <w:t>служб, додатково залучено сили та засоби інших формувань цивільного захисту, а збитки (оцінені в установленому законодавством порядку), спричинені пожежею (вибухом), перевищили 0,5 тис. мінімальних розмірів заробітної плати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26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Пожежа (вибух) на шахті (у </w:t>
            </w:r>
            <w:proofErr w:type="gramStart"/>
            <w:r w:rsidRPr="000D60AE">
              <w:t>п</w:t>
            </w:r>
            <w:proofErr w:type="gramEnd"/>
            <w:r w:rsidRPr="000D60AE">
              <w:t>ідземній гірничій виробці), що поширилася у межах однієї виробки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Пожежа у виробничій буді</w:t>
            </w:r>
            <w:proofErr w:type="gramStart"/>
            <w:r w:rsidRPr="000D60AE">
              <w:t>вл</w:t>
            </w:r>
            <w:proofErr w:type="gramEnd"/>
            <w:r w:rsidRPr="000D60AE">
              <w:t>і або споруді ГЕС, ГАЕС, ТЕС, АЕС, автономної електроенергетичної станції, що призвела до повної зупинки на строк понад 24 години всього генеруючого устаткування електростанції або до евакуації персоналу електростанції</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Хімічне забруднення внаслідок аварії, яке фактично або за прогнозом поширюється </w:t>
            </w:r>
            <w:proofErr w:type="gramStart"/>
            <w:r w:rsidRPr="000D60AE">
              <w:t>за</w:t>
            </w:r>
            <w:proofErr w:type="gramEnd"/>
            <w:r w:rsidRPr="000D60AE">
              <w:t xml:space="preserve"> межі об'єкта</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Наявність у ґрунтах хімічних речовин, залишкових кількостей пестицидів й агрохімікатів, важких металів тощо, що створює загрозу життю та здоров'ю людей, спричиняє шкоду довкіллю і потребує заході</w:t>
            </w:r>
            <w:proofErr w:type="gramStart"/>
            <w:r w:rsidRPr="000D60AE">
              <w:t>в</w:t>
            </w:r>
            <w:proofErr w:type="gramEnd"/>
            <w:r w:rsidRPr="000D60AE">
              <w:t xml:space="preserve"> зі зняття ґрунту та його вивезення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Загибель деревних або чагарникових насаджень на площі більше </w:t>
            </w:r>
            <w:smartTag w:uri="urn:schemas-microsoft-com:office:smarttags" w:element="metricconverter">
              <w:smartTagPr>
                <w:attr w:name="ProductID" w:val="2 га"/>
              </w:smartTagPr>
              <w:r w:rsidRPr="000D60AE">
                <w:t>2 га</w:t>
              </w:r>
            </w:smartTag>
            <w:r w:rsidRPr="000D60AE">
              <w:t xml:space="preserve">, зрідження </w:t>
            </w:r>
            <w:r w:rsidRPr="000D60AE">
              <w:lastRenderedPageBreak/>
              <w:t>чи пошкодження посіві</w:t>
            </w:r>
            <w:proofErr w:type="gramStart"/>
            <w:r w:rsidRPr="000D60AE">
              <w:t>в</w:t>
            </w:r>
            <w:proofErr w:type="gramEnd"/>
            <w:r w:rsidRPr="000D60AE">
              <w:t xml:space="preserve"> на площі більше 50 % окремого поля (що не пов'язані з гідрометеоумовами) внаслідок перевищення в ґрунті шкідливих речовин понад гранично допустимі концентрації (ГДК) (від 10 разів)</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31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Перевищення викидів </w:t>
            </w:r>
            <w:proofErr w:type="gramStart"/>
            <w:r w:rsidRPr="000D60AE">
              <w:t>в</w:t>
            </w:r>
            <w:proofErr w:type="gramEnd"/>
            <w:r w:rsidRPr="000D60AE">
              <w:t xml:space="preserve"> атмосферне повітря вмісту забруднюючих речовин понад ГДК</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перевищення ГДК у 20 - 29 разів тривалістю понад 24 години;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перевищення ГДК у 30 - 49 разів тривалістю понад 8 годин;</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перевищення ГДК у 50 разі</w:t>
            </w:r>
            <w:proofErr w:type="gramStart"/>
            <w:r w:rsidRPr="000D60AE">
              <w:t>в</w:t>
            </w:r>
            <w:proofErr w:type="gramEnd"/>
            <w:r w:rsidRPr="000D60AE">
              <w:t xml:space="preserve"> і більше</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Перевищення в пові</w:t>
            </w:r>
            <w:proofErr w:type="gramStart"/>
            <w:r w:rsidRPr="000D60AE">
              <w:t>тр</w:t>
            </w:r>
            <w:proofErr w:type="gramEnd"/>
            <w:r w:rsidRPr="000D60AE">
              <w:t>і робочого приміщення об'єкта забруднюючих речовин понад ГДК, що призвело до зупинки виробництва на строк понад 24 години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Кратність</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20 разі</w:t>
            </w:r>
            <w:proofErr w:type="gramStart"/>
            <w:r w:rsidRPr="000D60AE">
              <w:t>в</w:t>
            </w:r>
            <w:proofErr w:type="gramEnd"/>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Для шкідливих речовин з гостроспрямованою дією - від 10 разі</w:t>
            </w:r>
            <w:proofErr w:type="gramStart"/>
            <w:r w:rsidRPr="000D60AE">
              <w:t>в</w:t>
            </w:r>
            <w:proofErr w:type="gramEnd"/>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Перевищення в пові</w:t>
            </w:r>
            <w:proofErr w:type="gramStart"/>
            <w:r w:rsidRPr="000D60AE">
              <w:t>тр</w:t>
            </w:r>
            <w:proofErr w:type="gramEnd"/>
            <w:r w:rsidRPr="000D60AE">
              <w:t>і всередині житлового приміщення забруднюючих речовин понад ГДК, що створює загрозу життю та здоров'ю людей</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Аварійна зупинка устаткування та апаратури для очищення газопилового потоку від забруднюючих речовин I (II) класу небезпеки розрахунковим обсягом більше 5,0 кг/год (60 кг/год) стаціонарних джерел виробництва з безперервним циклом</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24</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proofErr w:type="gramStart"/>
            <w:r w:rsidRPr="000D60AE">
              <w:t>Клас небезпеки забруднюючих речовин визначається відповідно до</w:t>
            </w:r>
            <w:hyperlink r:id="rId11" w:tgtFrame="_top" w:history="1">
              <w:r w:rsidRPr="000D60AE">
                <w:rPr>
                  <w:rStyle w:val="a3"/>
                </w:rPr>
                <w:t>наказу Міністерства охорони навколишнього природного середовища України від 27 червня 2006 року N 309 "Про затвердження нормативів граничнодопустимих викидів забруднюючих речовин із стаціонарних джерел"</w:t>
              </w:r>
            </w:hyperlink>
            <w:r w:rsidRPr="000D60AE">
              <w:t>, зареєстрованого в Міністерстві юстиції України 01 серпня 2006 року за N 912/12786.</w:t>
            </w:r>
            <w:proofErr w:type="gramEnd"/>
            <w:r w:rsidRPr="000D60AE">
              <w:t xml:space="preserve"> </w:t>
            </w:r>
            <w:r w:rsidRPr="000D60AE">
              <w:lastRenderedPageBreak/>
              <w:t>Зазначені дані не поширюються на об'єкти теплоенергетики</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35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Перевищення в пові</w:t>
            </w:r>
            <w:proofErr w:type="gramStart"/>
            <w:r w:rsidRPr="000D60AE">
              <w:t>тр</w:t>
            </w:r>
            <w:proofErr w:type="gramEnd"/>
            <w:r w:rsidRPr="000D60AE">
              <w:t>і підземної гірничої виробки шкідливих речовин понад ГДК, що призвело до зупинки виробництва понад 24 години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Кратність</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 разі</w:t>
            </w:r>
            <w:proofErr w:type="gramStart"/>
            <w:r w:rsidRPr="000D60AE">
              <w:t>в</w:t>
            </w:r>
            <w:proofErr w:type="gramEnd"/>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Покриття </w:t>
            </w:r>
            <w:proofErr w:type="gramStart"/>
            <w:r w:rsidRPr="000D60AE">
              <w:t>пл</w:t>
            </w:r>
            <w:proofErr w:type="gramEnd"/>
            <w:r w:rsidRPr="000D60AE">
              <w:t>івкою (нафтовою, масляною та іншого походження) більше 1/3 поверхні водного об'єкта за його видимої площі до 6 кв. км або більше 2 кв. км поверхні водного об'єкта за його видимої площі більше 6 кв. км</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Наявність у воді (крім питної) забруднюючих та інших небезпечних речовин у концентраціях, що створюють загрозу життю та здоров'ю людей, спричиняють </w:t>
            </w:r>
            <w:proofErr w:type="gramStart"/>
            <w:r w:rsidRPr="000D60AE">
              <w:t>шкоду</w:t>
            </w:r>
            <w:proofErr w:type="gramEnd"/>
            <w:r w:rsidRPr="000D60AE">
              <w:t xml:space="preserve"> довкіллю і потребують заходів із екологічного оздоровлення поверхневих вод</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Вихід з ладу основного обладнання гірничо-металургійного заводу, </w:t>
            </w:r>
            <w:proofErr w:type="gramStart"/>
            <w:r w:rsidRPr="000D60AE">
              <w:t>у</w:t>
            </w:r>
            <w:proofErr w:type="gramEnd"/>
            <w:r w:rsidRPr="000D60AE">
              <w:t xml:space="preserve"> тому числі руйнування пульпопроводу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Руйнування дамби хвостосховища з НХР або радіоактивними відходами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Аварія на об'єкті, де використовуються ядерні матеріали, джерела іонізуючого випромінювання або зберігаються радіоактивні відходи, внаслідок чого працівники цього </w:t>
            </w:r>
            <w:r w:rsidRPr="000D60AE">
              <w:lastRenderedPageBreak/>
              <w:t>об'єкта отримали (чи можуть отримати) ефективну дозу опромінення понад 2 мЗв/</w:t>
            </w:r>
            <w:proofErr w:type="gramStart"/>
            <w:r w:rsidRPr="000D60AE">
              <w:t>р</w:t>
            </w:r>
            <w:proofErr w:type="gramEnd"/>
            <w:r w:rsidRPr="000D60AE">
              <w:t>ік (працівники категорії А - понад 50 мЗв/рік)</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Державні гі</w:t>
            </w:r>
            <w:proofErr w:type="gramStart"/>
            <w:r w:rsidRPr="000D60AE">
              <w:t>г</w:t>
            </w:r>
            <w:proofErr w:type="gramEnd"/>
            <w:r w:rsidRPr="000D60AE">
              <w:t>ієнічні нормативи "Норми радіаційної безпеки України (НРБУ-97)", введені в дію</w:t>
            </w:r>
            <w:hyperlink r:id="rId12" w:tgtFrame="_top" w:history="1">
              <w:r w:rsidRPr="000D60AE">
                <w:rPr>
                  <w:rStyle w:val="a3"/>
                </w:rPr>
                <w:t>постановою Головного державного санітарного лікаря України від 01 грудня 1997 року N 62</w:t>
              </w:r>
            </w:hyperlink>
            <w:r w:rsidRPr="000D60AE">
              <w:rPr>
                <w:rStyle w:val="apple-converted-space"/>
              </w:rPr>
              <w:t> </w:t>
            </w:r>
            <w:r w:rsidRPr="000D60AE">
              <w:t xml:space="preserve">(далі - </w:t>
            </w:r>
            <w:r w:rsidRPr="000D60AE">
              <w:lastRenderedPageBreak/>
              <w:t>НРБУ-97)</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41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Радіаційне забруднення довкілля через виникнення радіаційної аварії на об'єкті, де використовуються ядерні матеріали, джерела іонізуючого випромінювання або зберігаються радіоактивні відходи, внаслідок чого населення отримало (чи може отримати) ефективну дозу опромінення понад 1 мЗв/</w:t>
            </w:r>
            <w:proofErr w:type="gramStart"/>
            <w:r w:rsidRPr="000D60AE">
              <w:t>р</w:t>
            </w:r>
            <w:proofErr w:type="gramEnd"/>
            <w:r w:rsidRPr="000D60AE">
              <w:t>ік</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Викид у навколишнє середовище радіоактивних речовин у випадку аварії на атомній станції (атомній енергетичній установці виробничого або </w:t>
            </w:r>
            <w:proofErr w:type="gramStart"/>
            <w:r w:rsidRPr="000D60AE">
              <w:t>досл</w:t>
            </w:r>
            <w:proofErr w:type="gramEnd"/>
            <w:r w:rsidRPr="000D60AE">
              <w:t>ідного призначення), що призвів до забруднення проммайданчика та/або санітарно-захисної зони та до підвищення потужності ефективної дози більше ніж на 1,1 мкЗв/год</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hyperlink r:id="rId13" w:tgtFrame="_top" w:history="1">
              <w:r w:rsidRPr="000D60AE">
                <w:rPr>
                  <w:rStyle w:val="a3"/>
                </w:rPr>
                <w:t xml:space="preserve">Наказ Державного комітету ядерного регулювання України від 01 грудня 2004 року N 184 "Про затвердження Положення про порядок розслідування та </w:t>
              </w:r>
              <w:proofErr w:type="gramStart"/>
              <w:r w:rsidRPr="000D60AE">
                <w:rPr>
                  <w:rStyle w:val="a3"/>
                </w:rPr>
                <w:t>обл</w:t>
              </w:r>
              <w:proofErr w:type="gramEnd"/>
              <w:r w:rsidRPr="000D60AE">
                <w:rPr>
                  <w:rStyle w:val="a3"/>
                </w:rPr>
                <w:t>іку порушень в роботі атомних станцій"</w:t>
              </w:r>
            </w:hyperlink>
            <w:r w:rsidRPr="000D60AE">
              <w:t>, зареєстрований в Міністерстві юстиції України 17 грудня 2004 року за N 1594/10193</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Відключення енергоблока АЕС через вихід з ладу двох та більше систем безпеки енергоблока більше ніж на</w:t>
            </w:r>
            <w:r w:rsidRPr="000D60AE">
              <w:br/>
              <w:t>72 години або через порушення та невідновлення протягом 72 годин меж безпечної експлуатації енергоблока</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Виявлення дії </w:t>
            </w:r>
            <w:r w:rsidRPr="000D60AE">
              <w:lastRenderedPageBreak/>
              <w:t xml:space="preserve">радіоактивної речовини, що перебуває у незаконному обігу, яка призвела до опромінення населення, за якого можливі перевищення квоти ліміту ефективної дози опромінення населення, або до забруднення навколишнього середовища з перевищенням допустимих </w:t>
            </w:r>
            <w:proofErr w:type="gramStart"/>
            <w:r w:rsidRPr="000D60AE">
              <w:t>р</w:t>
            </w:r>
            <w:proofErr w:type="gramEnd"/>
            <w:r w:rsidRPr="000D60AE">
              <w:t xml:space="preserve">івнів надходження радіонуклідів через органи дихання, органи травлення або допустимих концентрацій у повітрі та питній воді для </w:t>
            </w:r>
            <w:proofErr w:type="gramStart"/>
            <w:r w:rsidRPr="000D60AE">
              <w:t>осіб</w:t>
            </w:r>
            <w:proofErr w:type="gramEnd"/>
            <w:r w:rsidRPr="000D60AE">
              <w:t xml:space="preserve"> категорії "В" (населення)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Відповідно до</w:t>
            </w:r>
            <w:hyperlink r:id="rId14" w:tgtFrame="_top" w:history="1">
              <w:r w:rsidRPr="000D60AE">
                <w:rPr>
                  <w:rStyle w:val="a3"/>
                </w:rPr>
                <w:t>НРБУ-97</w:t>
              </w:r>
            </w:hyperlink>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45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Ядерна чи радіаційна аварія, яка являє загрозу для України, про що повідомлено відповідно до міжнародної</w:t>
            </w:r>
            <w:r w:rsidRPr="000D60AE">
              <w:rPr>
                <w:rStyle w:val="apple-converted-space"/>
              </w:rPr>
              <w:t> </w:t>
            </w:r>
            <w:hyperlink r:id="rId15" w:tgtFrame="_top" w:history="1">
              <w:r w:rsidRPr="000D60AE">
                <w:rPr>
                  <w:rStyle w:val="a3"/>
                </w:rPr>
                <w:t>Конвенції про оперативне опові</w:t>
              </w:r>
              <w:proofErr w:type="gramStart"/>
              <w:r w:rsidRPr="000D60AE">
                <w:rPr>
                  <w:rStyle w:val="a3"/>
                </w:rPr>
                <w:t>щення</w:t>
              </w:r>
              <w:proofErr w:type="gramEnd"/>
              <w:r w:rsidRPr="000D60AE">
                <w:rPr>
                  <w:rStyle w:val="a3"/>
                </w:rPr>
                <w:t xml:space="preserve"> про ядерну аварію</w:t>
              </w:r>
            </w:hyperlink>
            <w:r w:rsidRPr="000D60AE">
              <w:rPr>
                <w:rStyle w:val="apple-converted-space"/>
              </w:rPr>
              <w:t> </w:t>
            </w:r>
            <w:r w:rsidRPr="000D60AE">
              <w:t>або згідно з двосторонніми міжурядовими угодами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Руйнування, пожежі та вибухи арсеналів баз та складі</w:t>
            </w:r>
            <w:proofErr w:type="gramStart"/>
            <w:r w:rsidRPr="000D60AE">
              <w:t>в</w:t>
            </w:r>
            <w:proofErr w:type="gramEnd"/>
            <w:r w:rsidRPr="000D60AE">
              <w:t>, на яких зберігаються засоби військового ураження, у тому числі застарілі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Обрушення понад 10 відсотків площі буді</w:t>
            </w:r>
            <w:proofErr w:type="gramStart"/>
            <w:r w:rsidRPr="000D60AE">
              <w:t>вл</w:t>
            </w:r>
            <w:proofErr w:type="gramEnd"/>
            <w:r w:rsidRPr="000D60AE">
              <w:t>і або споруди (несучих конструкцій будівлі) основного виробництва підприємства, що має клас наслідків (відповідальності) СС2 або СС3</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proofErr w:type="gramStart"/>
            <w:r w:rsidRPr="000D60AE">
              <w:t>Класи наслідків (відповідальності) будівель і споруд визначаються за ДБН В.1.2-14-2008 "Загальні принципи забезпечення надійності та конструктивної безпеки будівель, споруд, будівельних конструкцій та основ", затвердженими</w:t>
            </w:r>
            <w:hyperlink r:id="rId16" w:tgtFrame="_top" w:history="1">
              <w:r w:rsidRPr="000D60AE">
                <w:rPr>
                  <w:rStyle w:val="a3"/>
                </w:rPr>
                <w:t xml:space="preserve">наказом </w:t>
              </w:r>
              <w:r w:rsidRPr="000D60AE">
                <w:rPr>
                  <w:rStyle w:val="a3"/>
                </w:rPr>
                <w:lastRenderedPageBreak/>
                <w:t>Міністерства регіонального розвитку та будівництва України від 30 грудня 2008 року N 709</w:t>
              </w:r>
            </w:hyperlink>
            <w:proofErr w:type="gramEnd"/>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48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Вихід з ладу понад 10 відсотків загального обсягу основного технічного устаткування (обладнання) виробництва об'єкта (</w:t>
            </w:r>
            <w:proofErr w:type="gramStart"/>
            <w:r w:rsidRPr="000D60AE">
              <w:t>п</w:t>
            </w:r>
            <w:proofErr w:type="gramEnd"/>
            <w:r w:rsidRPr="000D60AE">
              <w:t>ідприємства) державної власності, що має стратегічне значення для економіки і безпеки держави, внаслідок руйнування (пошкодження) його будівель та споруд</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Перелік об'єктів державної власності, що мають стратегічне значення для економіки і безпеки держави, затверджений</w:t>
            </w:r>
            <w:hyperlink r:id="rId17" w:tgtFrame="_top" w:history="1">
              <w:r w:rsidRPr="000D60AE">
                <w:rPr>
                  <w:rStyle w:val="a3"/>
                </w:rPr>
                <w:t>постановою Кабінету Міні</w:t>
              </w:r>
              <w:proofErr w:type="gramStart"/>
              <w:r w:rsidRPr="000D60AE">
                <w:rPr>
                  <w:rStyle w:val="a3"/>
                </w:rPr>
                <w:t>стр</w:t>
              </w:r>
              <w:proofErr w:type="gramEnd"/>
              <w:r w:rsidRPr="000D60AE">
                <w:rPr>
                  <w:rStyle w:val="a3"/>
                </w:rPr>
                <w:t>ів України від 04 березня 2015 року N 83</w:t>
              </w:r>
            </w:hyperlink>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Припинення виробничої діяльності об'єкта (</w:t>
            </w:r>
            <w:proofErr w:type="gramStart"/>
            <w:r w:rsidRPr="000D60AE">
              <w:t>п</w:t>
            </w:r>
            <w:proofErr w:type="gramEnd"/>
            <w:r w:rsidRPr="000D60AE">
              <w:t>ідприємства) державної власності, що має стратегічне значення для економіки і безпеки держави, внаслідок руйнування його будівель та споруд виробничого призначення (у тому числі транспортних комунікацій)</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Припинення енергопостачання автономною електроенергетичною станцією внаслідок аварії, що призвело до зупинки виробничої діяльності об'єкта (</w:t>
            </w:r>
            <w:proofErr w:type="gramStart"/>
            <w:r w:rsidRPr="000D60AE">
              <w:t>п</w:t>
            </w:r>
            <w:proofErr w:type="gramEnd"/>
            <w:r w:rsidRPr="000D60AE">
              <w:t>ідприємства) державної власності, що має стратегічне значення для економіки і безпеки держави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Припинення енергопостачання ГЕС потужністю до</w:t>
            </w:r>
            <w:r w:rsidRPr="000D60AE">
              <w:br/>
              <w:t xml:space="preserve">50 МВт внаслідок аварії з втратою штатних джерел живлення </w:t>
            </w:r>
            <w:r w:rsidRPr="000D60AE">
              <w:lastRenderedPageBreak/>
              <w:t>власних потреб</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24</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52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Припинення енергопостачання ГЕС потужністю понад 200 МВт внаслідок аварії з втратою штатних джерел живлення власних потреб</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6</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Зупинка енергогенеруючих потужностей ТЕС понад</w:t>
            </w:r>
            <w:r w:rsidRPr="000D60AE">
              <w:br/>
              <w:t xml:space="preserve">500 МВт внаслідок руйнування виробничих будівель та споруд через аварію на основному устаткуванні (котли, турбіни, генератори) або внаслідок виходу з ладу джерел життєзабезпечення енерговиробництва (резервуарів води, мазуту, газопроводів, </w:t>
            </w:r>
            <w:proofErr w:type="gramStart"/>
            <w:r w:rsidRPr="000D60AE">
              <w:t>п</w:t>
            </w:r>
            <w:proofErr w:type="gramEnd"/>
            <w:r w:rsidRPr="000D60AE">
              <w:t>ідживлювальних трубопроводів)</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6</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Зупинка електроенергетичної станції в опалювальний період внаслідок аварії </w:t>
            </w:r>
            <w:proofErr w:type="gramStart"/>
            <w:r w:rsidRPr="000D60AE">
              <w:t>на</w:t>
            </w:r>
            <w:proofErr w:type="gramEnd"/>
            <w:r w:rsidRPr="000D60AE">
              <w:t xml:space="preserve"> основному устаткуванні: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потужністю від 4 до 50 МВт</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8</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потужністю від 51 до 115 МВт</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4</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потужністю від 116 до 500 МВт</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енергопостачання з аварійних причин об'єктів </w:t>
            </w:r>
            <w:proofErr w:type="gramStart"/>
            <w:r w:rsidRPr="000D60AE">
              <w:t>п</w:t>
            </w:r>
            <w:proofErr w:type="gramEnd"/>
            <w:r w:rsidRPr="000D60AE">
              <w:t>ідприємств, установ та організацій, повне відключення яких від електричних мереж може призвести до негативних екологічних та техногенних наслідків, що створюють загрозу життю та здоров'ю людей</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 xml:space="preserve">Припинення </w:t>
            </w:r>
            <w:r w:rsidRPr="000D60AE">
              <w:lastRenderedPageBreak/>
              <w:t>енергопостачання основних об'єктів і спеціальних споруд військового призначення, що може призвести до негативних екологічних та техногенних наслідків, які створюють загрозу життю та здоров'ю людей</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57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Робота об'єднаної енергосистеми України або її частини з частотою нижче 49,2 Гц</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Робота об'єднаної енергосистеми України або її частини з частотою більше 50,3 Гц</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Прорив греблі ГЕС на водосховищі </w:t>
            </w:r>
            <w:proofErr w:type="gramStart"/>
            <w:r w:rsidRPr="000D60AE">
              <w:t>р</w:t>
            </w:r>
            <w:proofErr w:type="gramEnd"/>
            <w:r w:rsidRPr="000D60AE">
              <w:t>ічок Дніпро або Дністер</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Утворення проривного паводка</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Проривний паводок - хвиля прориву води внаслідок гідродинамічної аварії на гідротехнічних спорудах з </w:t>
            </w:r>
            <w:proofErr w:type="gramStart"/>
            <w:r w:rsidRPr="000D60AE">
              <w:t>р</w:t>
            </w:r>
            <w:proofErr w:type="gramEnd"/>
            <w:r w:rsidRPr="000D60AE">
              <w:t>івнем її гребеня, що дорівнює або перевищує рівень розрахункового паводка (повені) забезпеченістю 15 - 10 %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Руйнування елементів обладнання і конструкції бурової установки (свердловини), що призвело до виникнення вибухів, пожеж, грифоні</w:t>
            </w:r>
            <w:proofErr w:type="gramStart"/>
            <w:r w:rsidRPr="000D60AE">
              <w:t>в</w:t>
            </w:r>
            <w:proofErr w:type="gramEnd"/>
            <w:r w:rsidRPr="000D60AE">
              <w:t xml:space="preserve"> на ній</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Аварія в системах нафтогазового промислового комплексу з виникненням газонафтоводовиявлень, відкритих нафтових і газових фонтанів, неконтрольованих викидів нафти, газу </w:t>
            </w:r>
            <w:r w:rsidRPr="000D60AE">
              <w:lastRenderedPageBreak/>
              <w:t>(води зі свердловини), внаслідок чого виникла загроза життю людей (персоналу об'єктів) або загроза виникнення пожеж, вибухів чи руйнувань об'єкті</w:t>
            </w:r>
            <w:proofErr w:type="gramStart"/>
            <w:r w:rsidRPr="000D60AE">
              <w:t>в</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63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Аварія на газопроводі та вихід з ладу </w:t>
            </w:r>
            <w:proofErr w:type="gramStart"/>
            <w:r w:rsidRPr="000D60AE">
              <w:t>газового</w:t>
            </w:r>
            <w:proofErr w:type="gramEnd"/>
            <w:r w:rsidRPr="000D60AE">
              <w:t xml:space="preserve"> обладнання, що створюють загрозу вибуху газу в багатоквартирних житлових будинках, або витік газу з виникненням загрози для життя людей, які перебувають за межами охоронної зони газопроводу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Перевищення мікробіологічних і токсичних показників питної </w:t>
            </w:r>
            <w:proofErr w:type="gramStart"/>
            <w:r w:rsidRPr="000D60AE">
              <w:t>води у системі централізованого водопостачання населеного пункту протягом тривалого пер</w:t>
            </w:r>
            <w:proofErr w:type="gramEnd"/>
            <w:r w:rsidRPr="000D60AE">
              <w:t>іоду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proofErr w:type="gramStart"/>
            <w:r w:rsidRPr="000D60AE">
              <w:t>Мікробіологічні та токсичні показники питної води, встановлені Державними санітарними нормами та правилами "Гігієнічні вимоги до води питної, призначеної для споживання людиною" (ДСанПіН 2.2.4-171-10), затвердженими</w:t>
            </w:r>
            <w:hyperlink r:id="rId18" w:tgtFrame="_top" w:history="1">
              <w:r w:rsidRPr="000D60AE">
                <w:rPr>
                  <w:rStyle w:val="a3"/>
                </w:rPr>
                <w:t>наказом Міністерства охорони здоров'я України від 12 травня 2010 року N 400</w:t>
              </w:r>
            </w:hyperlink>
            <w:r w:rsidRPr="000D60AE">
              <w:t>, зареєстрованими в Міністерстві юстиції України 01</w:t>
            </w:r>
            <w:proofErr w:type="gramEnd"/>
            <w:r w:rsidRPr="000D60AE">
              <w:t xml:space="preserve"> липня 2010 року за N 452/17747</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використання джерел нецентралізованого питного водопостачання населення внаслідок перевищення ГДК шкідливих (забруднюючих) речовин згідно з чинними нормативними документами в </w:t>
            </w:r>
            <w:proofErr w:type="gramStart"/>
            <w:r w:rsidRPr="000D60AE">
              <w:t>п</w:t>
            </w:r>
            <w:proofErr w:type="gramEnd"/>
            <w:r w:rsidRPr="000D60AE">
              <w:t>ідземних водах у водоносному горизонті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Руйнування буді</w:t>
            </w:r>
            <w:proofErr w:type="gramStart"/>
            <w:r w:rsidRPr="000D60AE">
              <w:t>вл</w:t>
            </w:r>
            <w:proofErr w:type="gramEnd"/>
            <w:r w:rsidRPr="000D60AE">
              <w:t xml:space="preserve">і або </w:t>
            </w:r>
            <w:r w:rsidRPr="000D60AE">
              <w:lastRenderedPageBreak/>
              <w:t>споруди цивільного призначення, що має клас наслідків (відповідальності) СС2 або СС3, у тому числі житлового будинку, унаслідок аварії на газопроводі та виходу з ладу газового обладнання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Класи наслідків </w:t>
            </w:r>
            <w:r w:rsidRPr="000D60AE">
              <w:lastRenderedPageBreak/>
              <w:t>(відповідальності) будівель і споруд визначаються за ДБН В.1.2-14-2008</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67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Руйнування окремої буді</w:t>
            </w:r>
            <w:proofErr w:type="gramStart"/>
            <w:r w:rsidRPr="000D60AE">
              <w:t>вл</w:t>
            </w:r>
            <w:proofErr w:type="gramEnd"/>
            <w:r w:rsidRPr="000D60AE">
              <w:t>і або споруди цивільного призначення (у тому числі житлового), що має клас наслідків (відповідальності) СС3 (СС2)</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Відсоток</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25 % (від 50 %) буді</w:t>
            </w:r>
            <w:proofErr w:type="gramStart"/>
            <w:r w:rsidRPr="000D60AE">
              <w:t>вл</w:t>
            </w:r>
            <w:proofErr w:type="gramEnd"/>
            <w:r w:rsidRPr="000D60AE">
              <w:t>і або споруди</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Зниження </w:t>
            </w:r>
            <w:proofErr w:type="gramStart"/>
            <w:r w:rsidRPr="000D60AE">
              <w:t>р</w:t>
            </w:r>
            <w:proofErr w:type="gramEnd"/>
            <w:r w:rsidRPr="000D60AE">
              <w:t>івня води джерела централізованого водопостачання нижче проектних позначок водозабірної споруди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Для мі</w:t>
            </w:r>
            <w:proofErr w:type="gramStart"/>
            <w:r w:rsidRPr="000D60AE">
              <w:t>ст</w:t>
            </w:r>
            <w:proofErr w:type="gramEnd"/>
            <w:r w:rsidRPr="000D60AE">
              <w:t xml:space="preserve"> з населенням більше 100 тис. осіб</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Скидання неочищених чи недостатньо очищених </w:t>
            </w:r>
            <w:proofErr w:type="gramStart"/>
            <w:r w:rsidRPr="000D60AE">
              <w:t>ст</w:t>
            </w:r>
            <w:proofErr w:type="gramEnd"/>
            <w:r w:rsidRPr="000D60AE">
              <w:t xml:space="preserve">ічних вод на території населеного пункту або у водні об'єкти в обсязі понад </w:t>
            </w:r>
            <w:smartTag w:uri="urn:schemas-microsoft-com:office:smarttags" w:element="metricconverter">
              <w:smartTagPr>
                <w:attr w:name="ProductID" w:val="100 куб. м"/>
              </w:smartTagPr>
              <w:r w:rsidRPr="000D60AE">
                <w:t>100 куб. м</w:t>
              </w:r>
            </w:smartTag>
            <w:r w:rsidRPr="000D60AE">
              <w:t xml:space="preserve"> за годину, загальний обсяг скиду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Куб. м</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Понад 500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Припинення електропостачання населених пункті</w:t>
            </w:r>
            <w:proofErr w:type="gramStart"/>
            <w:r w:rsidRPr="000D60AE">
              <w:t>в</w:t>
            </w:r>
            <w:proofErr w:type="gramEnd"/>
            <w:r w:rsidRPr="000D60AE">
              <w:t xml:space="preserve"> Автономної Республіки Крим, області на добу і більше через масове пошкодження електричних </w:t>
            </w:r>
            <w:proofErr w:type="gramStart"/>
            <w:r w:rsidRPr="000D60AE">
              <w:t>мереж</w:t>
            </w:r>
            <w:proofErr w:type="gramEnd"/>
            <w:r w:rsidRPr="000D60AE">
              <w:t xml:space="preserve"> напругою 6 кВ і вище</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Відсоток населених пункті</w:t>
            </w:r>
            <w:proofErr w:type="gramStart"/>
            <w:r w:rsidRPr="000D60AE">
              <w:t>в</w:t>
            </w:r>
            <w:proofErr w:type="gramEnd"/>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Відключення або вихід з ладу на 12 годин і більше потужності </w:t>
            </w:r>
            <w:proofErr w:type="gramStart"/>
            <w:r w:rsidRPr="000D60AE">
              <w:t>п</w:t>
            </w:r>
            <w:proofErr w:type="gramEnd"/>
            <w:r w:rsidRPr="000D60AE">
              <w:t>ідстанцій напругою 110 кВ і вище, що забезпечують енергопостачання міст Київ, Севастополь, Сімферополь та обласних центрів</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Відсоток потужності від загальної потужності </w:t>
            </w:r>
            <w:proofErr w:type="gramStart"/>
            <w:r w:rsidRPr="000D60AE">
              <w:t>п</w:t>
            </w:r>
            <w:proofErr w:type="gramEnd"/>
            <w:r w:rsidRPr="000D60AE">
              <w:t>ідстанцій напругою 110 кВ і вище</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w:t>
            </w:r>
            <w:r w:rsidRPr="000D60AE">
              <w:lastRenderedPageBreak/>
              <w:t xml:space="preserve">експлуатації об'єктів водопостачання та водовідведення в містах Київ, Севастополь, Сімферополь та обласних центрах </w:t>
            </w:r>
            <w:proofErr w:type="gramStart"/>
            <w:r w:rsidRPr="000D60AE">
              <w:t>через</w:t>
            </w:r>
            <w:proofErr w:type="gramEnd"/>
            <w:r w:rsidRPr="000D60AE">
              <w:t xml:space="preserve"> відключення ї</w:t>
            </w:r>
            <w:proofErr w:type="gramStart"/>
            <w:r w:rsidRPr="000D60AE">
              <w:t>х</w:t>
            </w:r>
            <w:proofErr w:type="gramEnd"/>
            <w:r w:rsidRPr="000D60AE">
              <w:t xml:space="preserve"> від джерел енергоживлення внаслідок аварії у системі енергозабезпечення (пошкодження електричних мереж)</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8</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73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Припинення теплопостачання споживачі</w:t>
            </w:r>
            <w:proofErr w:type="gramStart"/>
            <w:r w:rsidRPr="000D60AE">
              <w:t>в</w:t>
            </w:r>
            <w:proofErr w:type="gramEnd"/>
            <w:r w:rsidRPr="000D60AE">
              <w:t xml:space="preserve"> за температури зовнішнього повітря нижче 0</w:t>
            </w:r>
            <w:r w:rsidRPr="000D60AE">
              <w:rPr>
                <w:rStyle w:val="apple-converted-space"/>
              </w:rPr>
              <w:t> </w:t>
            </w:r>
            <w:r w:rsidRPr="000D60AE">
              <w:rPr>
                <w:vertAlign w:val="superscript"/>
              </w:rPr>
              <w:t>о</w:t>
            </w:r>
            <w:r w:rsidRPr="000D60AE">
              <w:t>С в опалювальний період року через пошкодження магістральних теплових мереж або обладнання комунальних та відомчих котелень</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24</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Припинення теплопостачання споживачі</w:t>
            </w:r>
            <w:proofErr w:type="gramStart"/>
            <w:r w:rsidRPr="000D60AE">
              <w:t>в</w:t>
            </w:r>
            <w:proofErr w:type="gramEnd"/>
            <w:r w:rsidRPr="000D60AE">
              <w:t xml:space="preserve"> за температури зовнішнього повітря від 0</w:t>
            </w:r>
            <w:r w:rsidRPr="000D60AE">
              <w:rPr>
                <w:rStyle w:val="apple-converted-space"/>
              </w:rPr>
              <w:t> </w:t>
            </w:r>
            <w:r w:rsidRPr="000D60AE">
              <w:rPr>
                <w:vertAlign w:val="superscript"/>
              </w:rPr>
              <w:t>о</w:t>
            </w:r>
            <w:r w:rsidRPr="000D60AE">
              <w:t>С до +8</w:t>
            </w:r>
            <w:r w:rsidRPr="000D60AE">
              <w:rPr>
                <w:rStyle w:val="apple-converted-space"/>
              </w:rPr>
              <w:t> </w:t>
            </w:r>
            <w:r w:rsidRPr="000D60AE">
              <w:rPr>
                <w:vertAlign w:val="superscript"/>
              </w:rPr>
              <w:t>о</w:t>
            </w:r>
            <w:r w:rsidRPr="000D60AE">
              <w:t>С в опалювальний період року через пошкодження магістральних теплових мереж або обладнання комунальних та відомчих котелень</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48</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водопостачання більше 30 відсотків розрахункового обсягу водопостачання населеного пункту через аварії </w:t>
            </w:r>
            <w:proofErr w:type="gramStart"/>
            <w:r w:rsidRPr="000D60AE">
              <w:t>на</w:t>
            </w:r>
            <w:proofErr w:type="gramEnd"/>
            <w:r w:rsidRPr="000D60AE">
              <w:t xml:space="preserve"> об'єктах водопостачання або пошкодження мереж водопостачання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18</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Припинення подачі газу внаслідок аварії на комунальному </w:t>
            </w:r>
            <w:r w:rsidRPr="000D60AE">
              <w:lastRenderedPageBreak/>
              <w:t>газопроводі в район (населений пункт), що обслуговується (з кількістю абонентів понад 500)</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24</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77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Аварія системи централізованого водо-, тепл</w:t>
            </w:r>
            <w:proofErr w:type="gramStart"/>
            <w:r w:rsidRPr="000D60AE">
              <w:t>о-</w:t>
            </w:r>
            <w:proofErr w:type="gramEnd"/>
            <w:r w:rsidRPr="000D60AE">
              <w:t>, енерго-, газопостачання або водовідведення населеного пункту в умовах дуже сильного морозу або дуже сильної спеки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Для мі</w:t>
            </w:r>
            <w:proofErr w:type="gramStart"/>
            <w:r w:rsidRPr="000D60AE">
              <w:t>ст</w:t>
            </w:r>
            <w:proofErr w:type="gramEnd"/>
            <w:r w:rsidRPr="000D60AE">
              <w:t xml:space="preserve"> з населенням більше 50 тис. осіб</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Технічна неможливість забезпечення зв'язку (повна неможливість забезпечення усіх видів зв'язку) із сільським чи міським районом через аварію систем зв'язку та телекомунікації</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24</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rPr>
                <w:b/>
                <w:bCs/>
              </w:rPr>
              <w:t>II</w:t>
            </w:r>
          </w:p>
        </w:tc>
        <w:tc>
          <w:tcPr>
            <w:tcW w:w="4839"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rPr>
                <w:b/>
                <w:bCs/>
              </w:rPr>
              <w:t xml:space="preserve">Надзвичайні ситуації </w:t>
            </w:r>
            <w:proofErr w:type="gramStart"/>
            <w:r w:rsidRPr="000D60AE">
              <w:rPr>
                <w:b/>
                <w:bCs/>
              </w:rPr>
              <w:t>природного</w:t>
            </w:r>
            <w:proofErr w:type="gramEnd"/>
            <w:r w:rsidRPr="000D60AE">
              <w:rPr>
                <w:b/>
                <w:bCs/>
              </w:rPr>
              <w:t xml:space="preserve"> характеру</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Загибель або травмування (захворювання, отруєння) людей внаслідок небезпечних природних явищ або подій медико-біологічного характеру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Особа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Загинуло від 3 </w:t>
            </w:r>
            <w:proofErr w:type="gramStart"/>
            <w:r w:rsidRPr="000D60AE">
              <w:t>осіб</w:t>
            </w:r>
            <w:proofErr w:type="gramEnd"/>
            <w:r w:rsidRPr="000D60AE">
              <w:t>, госпіталізовано від 10 осіб</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Виникнення безпосередньої загрози життю людей небезпечними (уражальними) чинниками небезпечного </w:t>
            </w:r>
            <w:proofErr w:type="gramStart"/>
            <w:r w:rsidRPr="000D60AE">
              <w:t>природного</w:t>
            </w:r>
            <w:proofErr w:type="gramEnd"/>
            <w:r w:rsidRPr="000D60AE">
              <w:t xml:space="preserve"> явища, що призвело до екстреної евакуації понад 50 осіб</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Землетруси з перевищенням фонової сейсмічності на 1 бал</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Показники фонової сейсмічності територій визначаються відповідно до ДБН В.1.1:12-2006 "Захист від небезпечних геологічних процесів, шкідливих експлуатаційних впливів, від пожежі. Будівництво у сейсмічних районах України", </w:t>
            </w:r>
            <w:r w:rsidRPr="000D60AE">
              <w:lastRenderedPageBreak/>
              <w:t>затверджених</w:t>
            </w:r>
            <w:hyperlink r:id="rId19" w:tgtFrame="_top" w:history="1">
              <w:r w:rsidRPr="000D60AE">
                <w:rPr>
                  <w:rStyle w:val="a3"/>
                </w:rPr>
                <w:t xml:space="preserve">наказом Міністерства будівництва, </w:t>
              </w:r>
              <w:proofErr w:type="gramStart"/>
              <w:r w:rsidRPr="000D60AE">
                <w:rPr>
                  <w:rStyle w:val="a3"/>
                </w:rPr>
                <w:t>арх</w:t>
              </w:r>
              <w:proofErr w:type="gramEnd"/>
              <w:r w:rsidRPr="000D60AE">
                <w:rPr>
                  <w:rStyle w:val="a3"/>
                </w:rPr>
                <w:t>ітектури та житлово-комунального господарства України від 23 серпня 2006 року N 282</w:t>
              </w:r>
            </w:hyperlink>
            <w:r w:rsidRPr="000D60AE">
              <w:rPr>
                <w:rStyle w:val="apple-converted-space"/>
              </w:rPr>
              <w:t> </w:t>
            </w:r>
            <w:r w:rsidRPr="000D60AE">
              <w:t>(додаток</w:t>
            </w:r>
            <w:proofErr w:type="gramStart"/>
            <w:r w:rsidRPr="000D60AE">
              <w:t xml:space="preserve"> Б</w:t>
            </w:r>
            <w:proofErr w:type="gramEnd"/>
            <w:r w:rsidRPr="000D60AE">
              <w:t xml:space="preserve"> - карта ЗСР-2004-А)</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Землетруси з інтенсивністю понад 5 балів за шкалою MSK-64 у місцях розміщення (знаходження) об'єктів </w:t>
            </w:r>
            <w:proofErr w:type="gramStart"/>
            <w:r w:rsidRPr="000D60AE">
              <w:t>п</w:t>
            </w:r>
            <w:proofErr w:type="gramEnd"/>
            <w:r w:rsidRPr="000D60AE">
              <w:t>ідвищеної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proofErr w:type="gramStart"/>
            <w:r w:rsidRPr="000D60AE">
              <w:t>Шкала сейсмічної інтенсивності визначається відповідно до ДСТУ Б В.1.1-28:2010 "Захист від небезпечних геологічних процесів, шкідливих експлуатаційних впливів, від пожежі. Шкала сейсмічної інтенсивності", затвердженого</w:t>
            </w:r>
            <w:hyperlink r:id="rId20" w:tgtFrame="_top" w:history="1">
              <w:r w:rsidRPr="000D60AE">
                <w:rPr>
                  <w:rStyle w:val="a3"/>
                </w:rPr>
                <w:t>наказом Міністерства регіонального розвитку та будівництва України від 23 грудня 2010 року N 539</w:t>
              </w:r>
            </w:hyperlink>
            <w:proofErr w:type="gramEnd"/>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Руйнування окремої буді</w:t>
            </w:r>
            <w:proofErr w:type="gramStart"/>
            <w:r w:rsidRPr="000D60AE">
              <w:t>вл</w:t>
            </w:r>
            <w:proofErr w:type="gramEnd"/>
            <w:r w:rsidRPr="000D60AE">
              <w:t>і або споруди цивільного призначення (у тому числі житлового), що має клас наслідків (відповідальності) СС3 (СС2), внаслідок впливу небезпечного природного явища (зсув, карст, підтоплення, абразія берегів, сильний вітер, сильна злива, крупний град, сильний снігопад, повінь, паводок, снігова лавина, сель тощо)</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Відсоток</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25 % (від 50 %) буді</w:t>
            </w:r>
            <w:proofErr w:type="gramStart"/>
            <w:r w:rsidRPr="000D60AE">
              <w:t>вл</w:t>
            </w:r>
            <w:proofErr w:type="gramEnd"/>
            <w:r w:rsidRPr="000D60AE">
              <w:t>і або споруди</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Класи наслідків (відповідальності) будівель і споруд визначаються за ДБН В.1.2-14-2008</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Масові руйнування або пошкодження будівель та споруд цивільного призначення (у тому числі житлового), що мають клас наслідків (відповідальності) СС</w:t>
            </w:r>
            <w:proofErr w:type="gramStart"/>
            <w:r w:rsidRPr="000D60AE">
              <w:t>1</w:t>
            </w:r>
            <w:proofErr w:type="gramEnd"/>
            <w:r w:rsidRPr="000D60AE">
              <w:t xml:space="preserve">, внаслідок впливу небезпечного природного явища </w:t>
            </w:r>
            <w:r w:rsidRPr="000D60AE">
              <w:lastRenderedPageBreak/>
              <w:t>(землетрус, зсув, сильний вітер, крупний град, сильний снігопад, сильна ожеледь, повінь, паводок, снігова лавина, сель тощо)</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50 % будівель та споруд у зоні руйнувань</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Пошкодження та/або руйнування окремих об'єктів електричних мереж напругою вище 6 кВ внаслідок небезпечних природних гідрометеорологічних явищ (сильний вітер, сильна ожеледь, сильні складні відкладення, сильне налипання мокрого снігу, повінь, паводок, снігова лавина, сель тощо)</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Одиниць об'єктів електричних мереж постачальника на території його ліцензійної діяльності</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25 одиниць у зоні руйнувань та пошкоджень</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Масове пошкодження та загибель посіві</w:t>
            </w:r>
            <w:proofErr w:type="gramStart"/>
            <w:r w:rsidRPr="000D60AE">
              <w:t>в</w:t>
            </w:r>
            <w:proofErr w:type="gramEnd"/>
            <w:r w:rsidRPr="000D60AE">
              <w:t xml:space="preserve"> сільськогосподарських культур, незібраного врожаю (травостою) внаслідок небезпечних природних гідрометеорологічних явищ (сильна злива, дуже сильний або тривалий дощ, крупний град, сильний снігопад, сильний мороз, заморозки, сильна спека, сильна пилова буря, суховій, повінь, паводок, сель тощо) не менше ніж </w:t>
            </w:r>
            <w:smartTag w:uri="urn:schemas-microsoft-com:office:smarttags" w:element="metricconverter">
              <w:smartTagPr>
                <w:attr w:name="ProductID" w:val="1000 га"/>
              </w:smartTagPr>
              <w:r w:rsidRPr="000D60AE">
                <w:t>1000 га</w:t>
              </w:r>
            </w:smartTag>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Відсоток</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Від 60 % площ </w:t>
            </w:r>
            <w:proofErr w:type="gramStart"/>
            <w:r w:rsidRPr="000D60AE">
              <w:t>пос</w:t>
            </w:r>
            <w:proofErr w:type="gramEnd"/>
            <w:r w:rsidRPr="000D60AE">
              <w:t>іву сільськогосподарських культур об'єднаної територіальної громади, від 30 % - району Автономної Республіки Крим, області (від 10 % для Автономної Республіки Крим або області)</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Масове пошкодження та загибель плодових культур або винограду (незібраного врожаю) внаслідок небезпечних природних гідрометеорологічних явищ (сильний вітер, сильна злива, крупний град, сильний снігопад, сильний мороз, заморозки, сильна спека, суховій, повінь, паводок, сель тощо)</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10 % площі рослин (від 30 % незібраного врожаю) району Автономної Республіки Крим, області</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10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Погіршення життєзабезпечення людей внаслідок припинення руху на багатоколійній або одноколійній залізничній ділянці через вплив небезпечного природного явища (зсув, карст, повінь, паводок, снігова лавина, сель тощо), що призвело до руйнування транспортних комунікацій (в умовах дуже сильного морозу або дуже сильної спеки)</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Година (Факт)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 (1)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Погіршення життєзабезпечення людей внаслідок припинення руху автомобільного транспорту на автомобільних дорогах державного значення або обласних автомобільних дорогах місцевого значення через вплив небезпечного природного явища (зсуви, карст, повінь, паводок, снігова лавина, сель тощо), що призвело до руйнування транспортних комунікацій та споруд (за неможливості об'їзду місця події іншими дорогами)</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Класифікація автомобільних доріг загального користування визначається</w:t>
            </w:r>
            <w:hyperlink r:id="rId21" w:tgtFrame="_top" w:history="1">
              <w:r w:rsidRPr="000D60AE">
                <w:rPr>
                  <w:rStyle w:val="a3"/>
                </w:rPr>
                <w:t>Законом України "Про автомобільні дороги"</w:t>
              </w:r>
            </w:hyperlink>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Погіршення життєзабезпечення людей внаслідок припинення руху автомобільного транспорту на автомобільних дорогах державного значення через вплив небезпечного природного явища </w:t>
            </w:r>
            <w:r w:rsidRPr="000D60AE">
              <w:lastRenderedPageBreak/>
              <w:t>(сильний снігопад, сильна ожеледь, сильна хуртовина, снігові замети тощо)</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Година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13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Погіршення життєзабезпечення людей внаслідок припинення руху автомобільного транспорту на обласних автомобільних дорогах місцевого значення через вплив небезпечного </w:t>
            </w:r>
            <w:proofErr w:type="gramStart"/>
            <w:r w:rsidRPr="000D60AE">
              <w:t>природного</w:t>
            </w:r>
            <w:proofErr w:type="gramEnd"/>
            <w:r w:rsidRPr="000D60AE">
              <w:t xml:space="preserve"> явища (сильний снігопад, сильна ожеледь, сильна хуртовина, снігові замети тощо) (за неможливості об'їзду місця події іншими дорогами)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36 (12)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Аварія системи централізованого водо-, тепл</w:t>
            </w:r>
            <w:proofErr w:type="gramStart"/>
            <w:r w:rsidRPr="000D60AE">
              <w:t>о-</w:t>
            </w:r>
            <w:proofErr w:type="gramEnd"/>
            <w:r w:rsidRPr="000D60AE">
              <w:t>, енерго-, газопостачання або водовідведення населеного пункту через дуже сильний мороз або дуже сильну спеку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Для мі</w:t>
            </w:r>
            <w:proofErr w:type="gramStart"/>
            <w:r w:rsidRPr="000D60AE">
              <w:t>ст</w:t>
            </w:r>
            <w:proofErr w:type="gramEnd"/>
            <w:r w:rsidRPr="000D60AE">
              <w:t xml:space="preserve"> з населенням більше 50 тис. осіб</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Затоплення, руйнування будівель та споруд у прибережній зоні та на узбережжі або виникнення аварійних морських подій (у тому числі наявність суден, що втратили хід та потребують льодового проведення) через вплив небезпечних гідрометеорологічних морських явищ (значне посилення вітру на акваторії Чорного і Азовського морів, сильне хвилювання на морі та на водосховищах, висок</w:t>
            </w:r>
            <w:proofErr w:type="gramEnd"/>
            <w:r w:rsidRPr="000D60AE">
              <w:t xml:space="preserve">і або низькі </w:t>
            </w:r>
            <w:proofErr w:type="gramStart"/>
            <w:r w:rsidRPr="000D60AE">
              <w:t>р</w:t>
            </w:r>
            <w:proofErr w:type="gramEnd"/>
            <w:r w:rsidRPr="000D60AE">
              <w:t xml:space="preserve">івні моря, поява в прибережній зоні важкопрохідного </w:t>
            </w:r>
            <w:r w:rsidRPr="000D60AE">
              <w:lastRenderedPageBreak/>
              <w:t>льоду або льодового покриву в аномально ранні строки, інтенсивне</w:t>
            </w:r>
            <w:r w:rsidRPr="000D60AE">
              <w:br/>
              <w:t>(0,7 см/годину і більше) обледеніння суден, інтенсивний дрейф та напір льоду на берег)</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Положення про класифікацію, порядок розслідування та </w:t>
            </w:r>
            <w:proofErr w:type="gramStart"/>
            <w:r w:rsidRPr="000D60AE">
              <w:t>обл</w:t>
            </w:r>
            <w:proofErr w:type="gramEnd"/>
            <w:r w:rsidRPr="000D60AE">
              <w:t>іку аварійних морських подій із суднами, затверджене</w:t>
            </w:r>
            <w:hyperlink r:id="rId22" w:tgtFrame="_top" w:history="1">
              <w:r w:rsidRPr="000D60AE">
                <w:rPr>
                  <w:rStyle w:val="a3"/>
                </w:rPr>
                <w:t>наказом Міністерства транспорту та зв'язку України від 29 травня 2006 року N 516</w:t>
              </w:r>
            </w:hyperlink>
            <w:r w:rsidRPr="000D60AE">
              <w:t>, зареєстроване в Міністерстві юстиції України 09 серпня 2006 року за N 959/12833</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16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Утворення мілин та обмілин акваторії Азовського моря та Керченської протоки, що створюють загрозу судноплавству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Затоплення об'єктів </w:t>
            </w:r>
            <w:proofErr w:type="gramStart"/>
            <w:r w:rsidRPr="000D60AE">
              <w:t>п</w:t>
            </w:r>
            <w:proofErr w:type="gramEnd"/>
            <w:r w:rsidRPr="000D60AE">
              <w:t>ідвищеної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Об'єкти </w:t>
            </w:r>
            <w:proofErr w:type="gramStart"/>
            <w:r w:rsidRPr="000D60AE">
              <w:t>п</w:t>
            </w:r>
            <w:proofErr w:type="gramEnd"/>
            <w:r w:rsidRPr="000D60AE">
              <w:t>ідвищеної небезпеки визначаються відповідно до</w:t>
            </w:r>
            <w:hyperlink r:id="rId23" w:tgtFrame="_top" w:history="1">
              <w:r w:rsidRPr="000D60AE">
                <w:rPr>
                  <w:rStyle w:val="a3"/>
                </w:rPr>
                <w:t>Закону України "Про об'єкти підвищеної небезпеки"</w:t>
              </w:r>
            </w:hyperlink>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Затоплення території</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 тис.</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Порушення нормальних умов життєдіяльності понад</w:t>
            </w:r>
            <w:r w:rsidRPr="000D60AE">
              <w:br/>
              <w:t xml:space="preserve">50 </w:t>
            </w:r>
            <w:proofErr w:type="gramStart"/>
            <w:r w:rsidRPr="000D60AE">
              <w:t>осіб</w:t>
            </w:r>
            <w:proofErr w:type="gramEnd"/>
            <w:r w:rsidRPr="000D60AE">
              <w:t xml:space="preserve"> внаслідок затоплення житлових будівель населеного пункту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Порушення нормальних умов життєдіяльності понад</w:t>
            </w:r>
            <w:r w:rsidRPr="000D60AE">
              <w:br/>
              <w:t xml:space="preserve">100 осіб внаслідок </w:t>
            </w:r>
            <w:proofErr w:type="gramStart"/>
            <w:r w:rsidRPr="000D60AE">
              <w:t>п</w:t>
            </w:r>
            <w:proofErr w:type="gramEnd"/>
            <w:r w:rsidRPr="000D60AE">
              <w:t>ідвищення рівня ґрунтових вод на забудованих територіях до глибини вище проектних норм осушення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Згідно з ДБН В.1.1-25-2009 "Захист від небезпечних геологічних процесів, шкідливих експлуатаційних впливів, від пожежі. Інженерний захист територій та споруд від </w:t>
            </w:r>
            <w:proofErr w:type="gramStart"/>
            <w:r w:rsidRPr="000D60AE">
              <w:t>п</w:t>
            </w:r>
            <w:proofErr w:type="gramEnd"/>
            <w:r w:rsidRPr="000D60AE">
              <w:t>ідтоплення та затоплення", затвердженими</w:t>
            </w:r>
            <w:hyperlink r:id="rId24" w:tgtFrame="_top" w:history="1">
              <w:r w:rsidRPr="000D60AE">
                <w:rPr>
                  <w:rStyle w:val="a3"/>
                </w:rPr>
                <w:t>наказом Міністерства регіонального розвитку та будівництва України від 02 грудня 2009 року N 550</w:t>
              </w:r>
            </w:hyperlink>
          </w:p>
        </w:tc>
      </w:tr>
      <w:tr w:rsidR="000D60AE" w:rsidRPr="000D60AE" w:rsidTr="000D60AE">
        <w:tc>
          <w:tcPr>
            <w:tcW w:w="12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Лісова пожежа верхова (низова) на площі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25 (від 50)</w:t>
            </w:r>
          </w:p>
        </w:tc>
        <w:tc>
          <w:tcPr>
            <w:tcW w:w="123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для заповідних територій та об'єктів </w:t>
            </w:r>
            <w:proofErr w:type="gramStart"/>
            <w:r w:rsidRPr="000D60AE">
              <w:t>особливого</w:t>
            </w:r>
            <w:proofErr w:type="gramEnd"/>
            <w:r w:rsidRPr="000D60AE">
              <w:t xml:space="preserve"> природоохоронного значення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 (від 10)</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для території зони відчуження та зони безумовного </w:t>
            </w:r>
            <w:r w:rsidRPr="000D60AE">
              <w:lastRenderedPageBreak/>
              <w:t>(обов'язкового) відселення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 (від 20)</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22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Вилучення ділянок лісу із лісогосподарського обігу внаслідок пожежі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Торф'яна пожежа на значних площах</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50</w:t>
            </w:r>
          </w:p>
        </w:tc>
        <w:tc>
          <w:tcPr>
            <w:tcW w:w="123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для заповідних територій та об'єктів </w:t>
            </w:r>
            <w:proofErr w:type="gramStart"/>
            <w:r w:rsidRPr="000D60AE">
              <w:t>особливого</w:t>
            </w:r>
            <w:proofErr w:type="gramEnd"/>
            <w:r w:rsidRPr="000D60AE">
              <w:t xml:space="preserve"> природоохоронного значення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Лісова (торф'яна) пожежа, що потребує залучення сил і засобів пожежогасіння двох держлісгоспів, інших розташованих у межах району </w:t>
            </w:r>
            <w:proofErr w:type="gramStart"/>
            <w:r w:rsidRPr="000D60AE">
              <w:t>п</w:t>
            </w:r>
            <w:proofErr w:type="gramEnd"/>
            <w:r w:rsidRPr="000D60AE">
              <w:t>ідприємств згідно з мобілізаційно-оперативним планом, а також сил і засобів пожежно-рятувальних підрозділів Оперативно-рятувальної служби (від двох підрозділів гарнізону) та інших формувань цивільного захисту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Пожежа степових масивів (посіві</w:t>
            </w:r>
            <w:proofErr w:type="gramStart"/>
            <w:r w:rsidRPr="000D60AE">
              <w:t>в</w:t>
            </w:r>
            <w:proofErr w:type="gramEnd"/>
            <w:r w:rsidRPr="000D60AE">
              <w:t xml:space="preserve"> сільськогосподарських культур), очерету на площі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50 (від 25)</w:t>
            </w:r>
          </w:p>
        </w:tc>
        <w:tc>
          <w:tcPr>
            <w:tcW w:w="123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для заповідних територій та об'єктів </w:t>
            </w:r>
            <w:proofErr w:type="gramStart"/>
            <w:r w:rsidRPr="000D60AE">
              <w:t>особливого</w:t>
            </w:r>
            <w:proofErr w:type="gramEnd"/>
            <w:r w:rsidRPr="000D60AE">
              <w:t xml:space="preserve"> природоохоронного значення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Вилучення земельних ділянок із сільськогосподарського обігу внаслідок пожежі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 xml:space="preserve">Захворювання людей на особливо небезпечні інфекційні хвороби: чума, холера, віспа (натуральна), жовта гарячка, гарячка Ласса, хвороба, спричинена вірусом Ебола, хвороба, спричинена вірусом </w:t>
            </w:r>
            <w:r w:rsidRPr="000D60AE">
              <w:lastRenderedPageBreak/>
              <w:t>Марбург, Кримська геморагічна гарячка, спричинена вірусом Конго, гарячка Денге, геморагічна гарячка Мачупо (болівійська), геморагічна гарячка Хунін (аргентинська), гарячка Західного Нілу, тяжкий гострий респіраторний синдром</w:t>
            </w:r>
            <w:proofErr w:type="gramEnd"/>
            <w:r w:rsidRPr="000D60AE">
              <w:t xml:space="preserve"> (ТГРС) - SARS, поліомієліт, спричинений диким </w:t>
            </w:r>
            <w:proofErr w:type="gramStart"/>
            <w:r w:rsidRPr="000D60AE">
              <w:t>поліов</w:t>
            </w:r>
            <w:proofErr w:type="gramEnd"/>
            <w:r w:rsidRPr="000D60AE">
              <w:t>ірусом, високопатогенний пташиний грип, грип, спричинений новим субтипом, малярія, менінгококова хвороба</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Особа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Згідно з Переліком нозологічних форм інфекційних хвороб, що мають міжнародне значення, наведеним у додатку 1 до Правил санітарної охорони території України, затверджених</w:t>
            </w:r>
            <w:hyperlink r:id="rId25" w:tgtFrame="_top" w:history="1">
              <w:r w:rsidRPr="000D60AE">
                <w:rPr>
                  <w:rStyle w:val="a3"/>
                </w:rPr>
                <w:t xml:space="preserve">постановою </w:t>
              </w:r>
              <w:r w:rsidRPr="000D60AE">
                <w:rPr>
                  <w:rStyle w:val="a3"/>
                </w:rPr>
                <w:lastRenderedPageBreak/>
                <w:t>Кабінету Міні</w:t>
              </w:r>
              <w:proofErr w:type="gramStart"/>
              <w:r w:rsidRPr="000D60AE">
                <w:rPr>
                  <w:rStyle w:val="a3"/>
                </w:rPr>
                <w:t>стр</w:t>
              </w:r>
              <w:proofErr w:type="gramEnd"/>
              <w:r w:rsidRPr="000D60AE">
                <w:rPr>
                  <w:rStyle w:val="a3"/>
                </w:rPr>
                <w:t>ів України від 22 серпня 2011 року N 893</w:t>
              </w:r>
            </w:hyperlink>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28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Захворювання людей на особливо небезпечні інфекційні хвороби: сибірка, сказ, туляремія, бруцельоз, гарячка Ку, лістері</w:t>
            </w:r>
            <w:proofErr w:type="gramStart"/>
            <w:r w:rsidRPr="000D60AE">
              <w:t>оз</w:t>
            </w:r>
            <w:proofErr w:type="gramEnd"/>
            <w:r w:rsidRPr="000D60AE">
              <w:t>, трихінельоз, кліщовий енцефаліт, лейшманіоз</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Захворювання людей </w:t>
            </w:r>
            <w:proofErr w:type="gramStart"/>
            <w:r w:rsidRPr="000D60AE">
              <w:t>на</w:t>
            </w:r>
            <w:proofErr w:type="gramEnd"/>
            <w:r w:rsidRPr="000D60AE">
              <w:t xml:space="preserve"> особливо небезпечні інфекційні хвороби: лептоспіроз, орнітоз</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 протягом 3 днів</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Захворювання людей на небезпечні інфекційні хвороби: черевний тиф, дифтерія, кі</w:t>
            </w:r>
            <w:proofErr w:type="gramStart"/>
            <w:r w:rsidRPr="000D60AE">
              <w:t>р</w:t>
            </w:r>
            <w:proofErr w:type="gramEnd"/>
            <w:r w:rsidRPr="000D60AE">
              <w:t>, краснуха, епідемічний паротит, генералізовані форми менінгококової інфекції</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Від 3 протягом 3 днів (для дифтерії, кору, краснухи, епідемічного паротиту від 3 осіб, які епідеміологічно </w:t>
            </w:r>
            <w:proofErr w:type="gramStart"/>
            <w:r w:rsidRPr="000D60AE">
              <w:t>пов'язан</w:t>
            </w:r>
            <w:proofErr w:type="gramEnd"/>
            <w:r w:rsidRPr="000D60AE">
              <w:t>і між собою спільним джерелом чи фактором передачі)</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Захворювання людей на небезпечні інфекційні хвороби: шигельоз (дизентерія) та інші гострі кишкові інфекційні захворювання встановленої та невстановленої етіології, сальмонельоз, вірусний гепатит A</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5 - в організованих колективах (від 10 - серед населення) протягом 3 дні</w:t>
            </w:r>
            <w:proofErr w:type="gramStart"/>
            <w:r w:rsidRPr="000D60AE">
              <w:t>в</w:t>
            </w:r>
            <w:proofErr w:type="gramEnd"/>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32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Перевищення порогового </w:t>
            </w:r>
            <w:proofErr w:type="gramStart"/>
            <w:r w:rsidRPr="000D60AE">
              <w:t>р</w:t>
            </w:r>
            <w:proofErr w:type="gramEnd"/>
            <w:r w:rsidRPr="000D60AE">
              <w:t>івня захворюваності людей на грип, гострі респіраторні вірусні захворювання удвічі і більше разів протягом періоду понад 2 тижні у двох та більше адміністративних районах області (Автономна Республіка Крим, міста Київ та Севастополь), містах або в цілому по країні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Інфекційні захворювання людей невиявленої етіології (гарячковий стан більше 5 дні</w:t>
            </w:r>
            <w:proofErr w:type="gramStart"/>
            <w:r w:rsidRPr="000D60AE">
              <w:t>в</w:t>
            </w:r>
            <w:proofErr w:type="gramEnd"/>
            <w:r w:rsidRPr="000D60AE">
              <w:t xml:space="preserve"> </w:t>
            </w:r>
            <w:proofErr w:type="gramStart"/>
            <w:r w:rsidRPr="000D60AE">
              <w:t>та</w:t>
            </w:r>
            <w:proofErr w:type="gramEnd"/>
            <w:r w:rsidRPr="000D60AE">
              <w:t>/або пронос більше 5 раз на добу протягом 3 днів)</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Особа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Отруєння людей хімічними або токсичними речовинами військового походження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Випадок отруєння від 10 людей НХР, що використовуються на виробництві, або іншими небезпечними речовинами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Особа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10 - окреме,</w:t>
            </w:r>
            <w:r w:rsidRPr="000D60AE">
              <w:br/>
              <w:t>від 26 - групове,</w:t>
            </w:r>
            <w:r w:rsidRPr="000D60AE">
              <w:br/>
              <w:t>від 101 - масове</w:t>
            </w:r>
          </w:p>
        </w:tc>
      </w:tr>
      <w:tr w:rsidR="000D60AE" w:rsidRPr="000D60AE" w:rsidTr="000D60AE">
        <w:tc>
          <w:tcPr>
            <w:tcW w:w="12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Одночасне </w:t>
            </w:r>
            <w:proofErr w:type="gramStart"/>
            <w:r w:rsidRPr="000D60AE">
              <w:t>отруєння людей з одного колективу внаслідок споживання продуктів харчування або води</w:t>
            </w:r>
            <w:proofErr w:type="gramEnd"/>
            <w:r w:rsidRPr="000D60AE">
              <w:t>:</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ботулізм</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токсиканти одного виду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дикорослі гриби та рослини або комбінація токсикантів двох і більше виді</w:t>
            </w:r>
            <w:proofErr w:type="gramStart"/>
            <w:r w:rsidRPr="000D60AE">
              <w:t>в</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Випадок отруєння від 5 людей невстановленою речовиною (отрутою)</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5 - окреме,</w:t>
            </w:r>
            <w:r w:rsidRPr="000D60AE">
              <w:br/>
              <w:t>від 11 - групове,</w:t>
            </w:r>
            <w:r w:rsidRPr="000D60AE">
              <w:br/>
              <w:t>від 51 - масове</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Випадок масової загибелі водних біоресурсів (риби, молюсків, водної рослинності та інших водних організмів) на </w:t>
            </w:r>
            <w:r w:rsidRPr="000D60AE">
              <w:lastRenderedPageBreak/>
              <w:t>площі водної поверхні понад 1 кв. км</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39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Захворювання сільськогосподарських та/або диких тварин на екзотичні та особливо небезпечні інфекційні (карантинні) хвороби: африканська чума свиней, </w:t>
            </w:r>
            <w:proofErr w:type="gramStart"/>
            <w:r w:rsidRPr="000D60AE">
              <w:t>хвороба</w:t>
            </w:r>
            <w:proofErr w:type="gramEnd"/>
            <w:r w:rsidRPr="000D60AE">
              <w:t xml:space="preserve"> Ньюкасла, сибірка, ящур тощо</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Згідно з Переліком особливо небезпечних (карантинних) хвороб тварин, затвердженим</w:t>
            </w:r>
            <w:hyperlink r:id="rId26" w:tgtFrame="_top" w:history="1">
              <w:r w:rsidRPr="000D60AE">
                <w:rPr>
                  <w:rStyle w:val="a3"/>
                </w:rPr>
                <w:t>постановою Кабінету Міні</w:t>
              </w:r>
              <w:proofErr w:type="gramStart"/>
              <w:r w:rsidRPr="000D60AE">
                <w:rPr>
                  <w:rStyle w:val="a3"/>
                </w:rPr>
                <w:t>стр</w:t>
              </w:r>
              <w:proofErr w:type="gramEnd"/>
              <w:r w:rsidRPr="000D60AE">
                <w:rPr>
                  <w:rStyle w:val="a3"/>
                </w:rPr>
                <w:t>ів України від 08 серпня 2007 року N 1006</w:t>
              </w:r>
            </w:hyperlink>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Захворювання сільськогосподарських тварин невизначеної етіології</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Масове отруєння сільськогосподарських тварин</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Умовних голі</w:t>
            </w:r>
            <w:proofErr w:type="gramStart"/>
            <w:r w:rsidRPr="000D60AE">
              <w:t>в</w:t>
            </w:r>
            <w:proofErr w:type="gramEnd"/>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300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Загибель сільськогосподарських тварин унаслідок масового отруєння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Загибель від 30 % чисельності </w:t>
            </w:r>
            <w:proofErr w:type="gramStart"/>
            <w:r w:rsidRPr="000D60AE">
              <w:t>диких</w:t>
            </w:r>
            <w:proofErr w:type="gramEnd"/>
            <w:r w:rsidRPr="000D60AE">
              <w:t xml:space="preserve"> тварин одного виду, які населяють територію району Автономної Республіки Крим або області, через інфекційне захворювання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Загибель від 40 % чисельності диких тварин одного виду, які населяють територію адміністративного району, унаслідок стихійного лиха (глибокий сніг, сильний мороз, сильна ожеледь, повінь тощо)</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Інфекційне захворювання </w:t>
            </w:r>
            <w:proofErr w:type="gramStart"/>
            <w:r w:rsidRPr="000D60AE">
              <w:t>диких</w:t>
            </w:r>
            <w:proofErr w:type="gramEnd"/>
            <w:r w:rsidRPr="000D60AE">
              <w:t xml:space="preserve"> тварин, що призвело до введення карантину на території двох лісництв адміністративного району або окремого населеного пункту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Поширення небезпечної хвороби рослин на </w:t>
            </w:r>
            <w:proofErr w:type="gramStart"/>
            <w:r w:rsidRPr="000D60AE">
              <w:lastRenderedPageBreak/>
              <w:t>велик</w:t>
            </w:r>
            <w:proofErr w:type="gramEnd"/>
            <w:r w:rsidRPr="000D60AE">
              <w:t>ій площі в умовах масового інфекційного захворювання з ураженням понад 25 відсотків загальної кількості сільськогосподарських рослин у зоні поширення (уражено більше 50 відсотків поверхні рослин)</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Га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Віднесення хвороб до того чи іншого ступеня </w:t>
            </w:r>
            <w:r w:rsidRPr="000D60AE">
              <w:lastRenderedPageBreak/>
              <w:t>небезпечності визначається Міністерством аграрної політики та продовольства України</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47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Поширення особливо небезпечної хвороби рослин на </w:t>
            </w:r>
            <w:proofErr w:type="gramStart"/>
            <w:r w:rsidRPr="000D60AE">
              <w:t>велик</w:t>
            </w:r>
            <w:proofErr w:type="gramEnd"/>
            <w:r w:rsidRPr="000D60AE">
              <w:t>ій площі в умовах масового інфекційного захворювання з ураженням понад 10 відсотків загальної кількості сільськогосподарських рослин у зоні поширення (уражено більше 50 відсотків поверхні рослин)</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Розповсюдження шкідливих комах, гризунів та інших видів небезпечних шкідливих об'єкті</w:t>
            </w:r>
            <w:proofErr w:type="gramStart"/>
            <w:r w:rsidRPr="000D60AE">
              <w:t>в</w:t>
            </w:r>
            <w:proofErr w:type="gramEnd"/>
            <w:r w:rsidRPr="000D60AE">
              <w:t xml:space="preserve"> на великій площі, що призвело до пошкодження понад 25 відсотків загальної кількості рослин у зоні розповсюдження (пошкодження понад 50 відсотків поверхні рослини)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1000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Віднесення шкідникі</w:t>
            </w:r>
            <w:proofErr w:type="gramStart"/>
            <w:r w:rsidRPr="000D60AE">
              <w:t>в</w:t>
            </w:r>
            <w:proofErr w:type="gramEnd"/>
            <w:r w:rsidRPr="000D60AE">
              <w:t xml:space="preserve"> </w:t>
            </w:r>
            <w:proofErr w:type="gramStart"/>
            <w:r w:rsidRPr="000D60AE">
              <w:t>до</w:t>
            </w:r>
            <w:proofErr w:type="gramEnd"/>
            <w:r w:rsidRPr="000D60AE">
              <w:t xml:space="preserve"> того чи іншого ступеня небезпечності визначається Міністерством аграрної політики та продовольства України</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Розповсюдження шкідливих комах, гризунів та інших виді</w:t>
            </w:r>
            <w:proofErr w:type="gramStart"/>
            <w:r w:rsidRPr="000D60AE">
              <w:t>в</w:t>
            </w:r>
            <w:proofErr w:type="gramEnd"/>
            <w:r w:rsidRPr="000D60AE">
              <w:t xml:space="preserve"> особливо небезпечних шкідливих об'єктів на великій площі, що призвело до пошкодження понад</w:t>
            </w:r>
            <w:r w:rsidRPr="000D60AE">
              <w:br/>
              <w:t>25 відсотків загальної кількості рослин у зоні розповсюдження (пошкодження понад 50 відсотків поверхні рослини)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50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Масове пошкодження та загибель (всихання) лісових насаджень внаслідок ушкодження їх шкідливими комахами та </w:t>
            </w:r>
            <w:proofErr w:type="gramStart"/>
            <w:r w:rsidRPr="000D60AE">
              <w:t>хворобами</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Га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500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Масове пошкодження та загибель лісових масивів внаслідок небезпечних природних гідрометеорологічних явищ (сильна злива, дуже сильний або тривалий дощ, крупний град, сильний снігопад, сильний мороз, заморозки, сильна спека, сильна пилова буря, суховій, повінь, паводок, сель тощо)</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rPr>
                <w:b/>
                <w:bCs/>
              </w:rPr>
              <w:t>III</w:t>
            </w:r>
          </w:p>
        </w:tc>
        <w:tc>
          <w:tcPr>
            <w:tcW w:w="4839"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rPr>
                <w:b/>
                <w:bCs/>
              </w:rPr>
              <w:t xml:space="preserve">Надзвичайні ситуації </w:t>
            </w:r>
            <w:proofErr w:type="gramStart"/>
            <w:r w:rsidRPr="000D60AE">
              <w:rPr>
                <w:b/>
                <w:bCs/>
              </w:rPr>
              <w:t>соц</w:t>
            </w:r>
            <w:proofErr w:type="gramEnd"/>
            <w:r w:rsidRPr="000D60AE">
              <w:rPr>
                <w:b/>
                <w:bCs/>
              </w:rPr>
              <w:t>іального характеру</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Загибель або травмування людей внаслідок небезпечних подій (у тому числі внаслідок нещасних випадкі</w:t>
            </w:r>
            <w:proofErr w:type="gramStart"/>
            <w:r w:rsidRPr="000D60AE">
              <w:t>в</w:t>
            </w:r>
            <w:proofErr w:type="gramEnd"/>
            <w:r w:rsidRPr="000D60AE">
              <w:t xml:space="preserve"> на воді)</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Особа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Загинуло від 3 </w:t>
            </w:r>
            <w:proofErr w:type="gramStart"/>
            <w:r w:rsidRPr="000D60AE">
              <w:t>осіб</w:t>
            </w:r>
            <w:proofErr w:type="gramEnd"/>
            <w:r w:rsidRPr="000D60AE">
              <w:t>, постраждало від 10 осіб</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Збройний напад, захоплення та утримування будівель органі</w:t>
            </w:r>
            <w:proofErr w:type="gramStart"/>
            <w:r w:rsidRPr="000D60AE">
              <w:t>в</w:t>
            </w:r>
            <w:proofErr w:type="gramEnd"/>
            <w:r w:rsidRPr="000D60AE">
              <w:t xml:space="preserve"> державної влади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Збройний напад на дипломатичне чи консульське представництво</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Збройний напад, захоплення та утримування будівель правоохоронних органі</w:t>
            </w:r>
            <w:proofErr w:type="gramStart"/>
            <w:r w:rsidRPr="000D60AE">
              <w:t>в</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Збройний напад, захоплення та утримування будівель телерадіоцентрі</w:t>
            </w:r>
            <w:proofErr w:type="gramStart"/>
            <w:r w:rsidRPr="000D60AE">
              <w:t>в</w:t>
            </w:r>
            <w:proofErr w:type="gramEnd"/>
            <w:r w:rsidRPr="000D60AE">
              <w:t xml:space="preserve"> та вузлів зв'язку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Збройний напад, скоєний на об'єкти військового призначення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Збройний напад, захоплення та утримування будівель державних закладі</w:t>
            </w:r>
            <w:proofErr w:type="gramStart"/>
            <w:r w:rsidRPr="000D60AE">
              <w:t>в</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Збройний напад або несанкціоновані дії фізичних осіб стосовно ядерних об'єкті</w:t>
            </w:r>
            <w:proofErr w:type="gramStart"/>
            <w:r w:rsidRPr="000D60AE">
              <w:t>в</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Замах на життя посадової особи органу державної влади (Президент України, Голова Верховної Ради України, Прем'єр-міні</w:t>
            </w:r>
            <w:proofErr w:type="gramStart"/>
            <w:r w:rsidRPr="000D60AE">
              <w:t>стр</w:t>
            </w:r>
            <w:proofErr w:type="gramEnd"/>
            <w:r w:rsidRPr="000D60AE">
              <w:t xml:space="preserve"> України) або народного депутата України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Напад, замах на життя членів екіпажу повітряного або морського (</w:t>
            </w:r>
            <w:proofErr w:type="gramStart"/>
            <w:r w:rsidRPr="000D60AE">
              <w:t>р</w:t>
            </w:r>
            <w:proofErr w:type="gramEnd"/>
            <w:r w:rsidRPr="000D60AE">
              <w:t>ічкового) судна, викрадення (спроба викрадення), знищення (спроба знищення) такого судна, захоплення заручників на борту судна</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Виявлення вибухового пристрою (іншого смертоносного пристрою масового ураження, за винятком застарілих боєприпасів) у громадському місці, установі, організації, на </w:t>
            </w:r>
            <w:proofErr w:type="gramStart"/>
            <w:r w:rsidRPr="000D60AE">
              <w:t>п</w:t>
            </w:r>
            <w:proofErr w:type="gramEnd"/>
            <w:r w:rsidRPr="000D60AE">
              <w:t>ідприємстві, у житловому секторі, на транспорті, що призвело до евакуації населення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Вибух (задіяння) вибухового пристрою (іншого смертоносного пристрою масового ураження, за винятком застарілих боєприпасів) у громадському місці, установі, організації, на </w:t>
            </w:r>
            <w:proofErr w:type="gramStart"/>
            <w:r w:rsidRPr="000D60AE">
              <w:t>п</w:t>
            </w:r>
            <w:proofErr w:type="gramEnd"/>
            <w:r w:rsidRPr="000D60AE">
              <w:t>ідприємстві, у житловому секторі, на транспорті, що призвело до загибелі або травмування людей</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Зникнення або викрадення вогнепальної зброї першої і другої </w:t>
            </w:r>
            <w:r w:rsidRPr="000D60AE">
              <w:lastRenderedPageBreak/>
              <w:t>категорій ураження з боєприпасами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У випадку зникнення або викрадення з об'єктів зберігання, використання, перероблення та </w:t>
            </w:r>
            <w:proofErr w:type="gramStart"/>
            <w:r w:rsidRPr="000D60AE">
              <w:t>п</w:t>
            </w:r>
            <w:proofErr w:type="gramEnd"/>
            <w:r w:rsidRPr="000D60AE">
              <w:t xml:space="preserve">ід час </w:t>
            </w:r>
            <w:r w:rsidRPr="000D60AE">
              <w:lastRenderedPageBreak/>
              <w:t>транспортування</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14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Зникнення або викрадення вогнепальної зброї третьої категорії ураження без боєприпасів або з боєприпасами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Зникнення або викрадення гранат, артилерійських боєприпасів, мін, бомб або </w:t>
            </w:r>
            <w:proofErr w:type="gramStart"/>
            <w:r w:rsidRPr="000D60AE">
              <w:t>п</w:t>
            </w:r>
            <w:proofErr w:type="gramEnd"/>
            <w:r w:rsidRPr="000D60AE">
              <w:t>ідривних зарядів</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16</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Зникнення або викрадення бронетехніки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17</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Зникнення або викрадення артилерійського озброєння, готового до застосування</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18</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Зникнення або викрадення бризантних вибухових </w:t>
            </w:r>
            <w:proofErr w:type="gramStart"/>
            <w:r w:rsidRPr="000D60AE">
              <w:t>матер</w:t>
            </w:r>
            <w:proofErr w:type="gramEnd"/>
            <w:r w:rsidRPr="000D60AE">
              <w:t>іалів або ініціювальних засобів</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19</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Зникнення або викрадення плутонію неопроміненого, урану-233 неопроміненого, урану зі збагаченням за ураном-235 - 20 % та більше</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Кг</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0,015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20</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Зникнення або викрадення урану зі збагаченням за ураном-235 від 10 % до 20 % (із збагаченням за ураном-235 вище </w:t>
            </w:r>
            <w:proofErr w:type="gramStart"/>
            <w:r w:rsidRPr="000D60AE">
              <w:t>природного</w:t>
            </w:r>
            <w:proofErr w:type="gramEnd"/>
            <w:r w:rsidRPr="000D60AE">
              <w:t>, але менше 10 %)</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1 (від 10)</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r>
      <w:tr w:rsidR="000D60AE" w:rsidRPr="000D60AE" w:rsidTr="000D60AE">
        <w:tc>
          <w:tcPr>
            <w:tcW w:w="12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21</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Зникнення або викрадення НХР, що можуть створити або створюють фактори ураження </w:t>
            </w:r>
            <w:proofErr w:type="gramStart"/>
            <w:r w:rsidRPr="000D60AE">
              <w:t>для</w:t>
            </w:r>
            <w:proofErr w:type="gramEnd"/>
            <w:r w:rsidRPr="000D60AE">
              <w:t xml:space="preserve"> персоналу об'єкта, населення або інших об'єктів навколишнього середовища:</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xml:space="preserve">У випадку зникнення або викрадення з об'єктів зберігання, використання, перероблення та </w:t>
            </w:r>
            <w:proofErr w:type="gramStart"/>
            <w:r w:rsidRPr="000D60AE">
              <w:t>п</w:t>
            </w:r>
            <w:proofErr w:type="gramEnd"/>
            <w:r w:rsidRPr="000D60AE">
              <w:t>ід час транспортування</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1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Тонна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0,01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2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0,05</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3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0,2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0D60AE" w:rsidRPr="000D60AE" w:rsidRDefault="000D60AE">
            <w:pPr>
              <w:rPr>
                <w:lang w:val="ru-RU"/>
              </w:rPr>
            </w:pP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для НХР 4 класу небезпеки</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Від 2</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22</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Зникнення або викрадення з об'єктів виробництва, зберігання, переробки, реалізації та під час транспортування наркотичних засобів, психотропних речовин, прекурсорів </w:t>
            </w:r>
            <w:proofErr w:type="gramStart"/>
            <w:r w:rsidRPr="000D60AE">
              <w:t>в</w:t>
            </w:r>
            <w:proofErr w:type="gramEnd"/>
            <w:r w:rsidRPr="000D60AE">
              <w:t xml:space="preserve"> особливо великих розмірах</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Особливо великі розміри визначаються згідно з</w:t>
            </w:r>
            <w:r w:rsidRPr="000D60AE">
              <w:rPr>
                <w:rStyle w:val="apple-converted-space"/>
              </w:rPr>
              <w:t> </w:t>
            </w:r>
            <w:hyperlink r:id="rId27" w:tgtFrame="_top" w:history="1">
              <w:r w:rsidRPr="000D60AE">
                <w:rPr>
                  <w:rStyle w:val="a3"/>
                </w:rPr>
                <w:t>наказом Міністерства охорони здоров'я України від 01 серпня 2000 року N 188 "Про затвердження таблиць невеликих, великих та особливо великих розмі</w:t>
              </w:r>
              <w:proofErr w:type="gramStart"/>
              <w:r w:rsidRPr="000D60AE">
                <w:rPr>
                  <w:rStyle w:val="a3"/>
                </w:rPr>
                <w:t>р</w:t>
              </w:r>
              <w:proofErr w:type="gramEnd"/>
              <w:r w:rsidRPr="000D60AE">
                <w:rPr>
                  <w:rStyle w:val="a3"/>
                </w:rPr>
                <w:t>ів наркотичних засобів, психотропних речовин і прекурсорів, які знаходяться у незаконному обігу"</w:t>
              </w:r>
            </w:hyperlink>
            <w:r w:rsidRPr="000D60AE">
              <w:t>, зареєстрованим у Міністерстві юстиції України 16 серпня 2000 року за N 512/4733</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23</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Виявлення скупчень (складів) застарілих боєприпасів, знешкодження яких обумовило залучення спеціальних </w:t>
            </w:r>
            <w:proofErr w:type="gramStart"/>
            <w:r w:rsidRPr="000D60AE">
              <w:t>п</w:t>
            </w:r>
            <w:proofErr w:type="gramEnd"/>
            <w:r w:rsidRPr="000D60AE">
              <w:t>ідрозділів на тривалий час</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Доба</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Понад 3</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24</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r w:rsidRPr="000D60AE">
              <w:t xml:space="preserve">Перебування від 10 осіб на крижині, що дрейфувала у відкритому морі, водосховищі або </w:t>
            </w:r>
            <w:proofErr w:type="gramStart"/>
            <w:r w:rsidRPr="000D60AE">
              <w:t>р</w:t>
            </w:r>
            <w:proofErr w:type="gramEnd"/>
            <w:r w:rsidRPr="000D60AE">
              <w:t>ічці, що обумовило залучення сил та засобів формувань цивільного захисту</w:t>
            </w:r>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Факт</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1</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1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25</w:t>
            </w:r>
          </w:p>
        </w:tc>
        <w:tc>
          <w:tcPr>
            <w:tcW w:w="20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l"/>
              <w:spacing w:before="0" w:beforeAutospacing="0" w:after="0" w:afterAutospacing="0"/>
            </w:pPr>
            <w:proofErr w:type="gramStart"/>
            <w:r w:rsidRPr="000D60AE">
              <w:t xml:space="preserve">Нещасний випадок з групою людей (від 3 осіб) у лісових, гірських масивах, печерах та інших рекреаційних зонах, пов'язаний зі зникненням людей (у тому числі на воді), коли до пошуку залучаються значні сили (від 50 осіб) на тривалий час (понад 2 </w:t>
            </w:r>
            <w:r w:rsidRPr="000D60AE">
              <w:lastRenderedPageBreak/>
              <w:t>доби)</w:t>
            </w:r>
            <w:proofErr w:type="gramEnd"/>
          </w:p>
        </w:tc>
        <w:tc>
          <w:tcPr>
            <w:tcW w:w="6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lastRenderedPageBreak/>
              <w:t>- " -</w:t>
            </w:r>
          </w:p>
        </w:tc>
        <w:tc>
          <w:tcPr>
            <w:tcW w:w="9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 -</w:t>
            </w:r>
          </w:p>
        </w:tc>
        <w:tc>
          <w:tcPr>
            <w:tcW w:w="12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D60AE" w:rsidRPr="000D60AE" w:rsidRDefault="000D60AE">
            <w:pPr>
              <w:pStyle w:val="tc"/>
              <w:spacing w:before="0" w:beforeAutospacing="0" w:after="0" w:afterAutospacing="0"/>
              <w:jc w:val="center"/>
            </w:pPr>
            <w:r w:rsidRPr="000D60AE">
              <w:t> </w:t>
            </w:r>
          </w:p>
        </w:tc>
      </w:tr>
      <w:tr w:rsidR="000D60AE" w:rsidRPr="000D60AE" w:rsidTr="000D60AE">
        <w:tc>
          <w:tcPr>
            <w:tcW w:w="2500" w:type="pct"/>
            <w:gridSpan w:val="3"/>
            <w:tcBorders>
              <w:top w:val="nil"/>
              <w:left w:val="nil"/>
              <w:bottom w:val="nil"/>
              <w:right w:val="nil"/>
            </w:tcBorders>
            <w:shd w:val="clear" w:color="auto" w:fill="auto"/>
            <w:tcMar>
              <w:top w:w="0" w:type="dxa"/>
              <w:left w:w="0" w:type="dxa"/>
              <w:bottom w:w="0" w:type="dxa"/>
              <w:right w:w="0" w:type="dxa"/>
            </w:tcMar>
            <w:vAlign w:val="bottom"/>
          </w:tcPr>
          <w:p w:rsidR="000D60AE" w:rsidRPr="000D60AE" w:rsidRDefault="000D60AE">
            <w:pPr>
              <w:pStyle w:val="tc"/>
              <w:spacing w:before="0" w:beforeAutospacing="0" w:after="0" w:afterAutospacing="0"/>
              <w:jc w:val="center"/>
              <w:rPr>
                <w:b/>
                <w:bCs/>
                <w:color w:val="2A2928"/>
                <w:lang w:val="uk-UA"/>
              </w:rPr>
            </w:pPr>
          </w:p>
          <w:p w:rsidR="000D60AE" w:rsidRPr="000D60AE" w:rsidRDefault="000D60AE">
            <w:pPr>
              <w:pStyle w:val="tc"/>
              <w:spacing w:before="0" w:beforeAutospacing="0" w:after="0" w:afterAutospacing="0"/>
              <w:jc w:val="center"/>
            </w:pPr>
            <w:r w:rsidRPr="000D60AE">
              <w:rPr>
                <w:b/>
                <w:bCs/>
                <w:color w:val="2A2928"/>
              </w:rPr>
              <w:t> </w:t>
            </w:r>
            <w:r w:rsidRPr="000D60AE">
              <w:rPr>
                <w:b/>
                <w:bCs/>
              </w:rPr>
              <w:t>Т. в. о. начальника Управління взаємодії</w:t>
            </w:r>
            <w:r w:rsidRPr="000D60AE">
              <w:rPr>
                <w:b/>
                <w:bCs/>
              </w:rPr>
              <w:br/>
              <w:t>з Державною службою України</w:t>
            </w:r>
            <w:r w:rsidRPr="000D60AE">
              <w:rPr>
                <w:b/>
                <w:bCs/>
              </w:rPr>
              <w:br/>
              <w:t>з надзвичайних ситуацій МВС</w:t>
            </w:r>
          </w:p>
        </w:tc>
        <w:tc>
          <w:tcPr>
            <w:tcW w:w="2500" w:type="pct"/>
            <w:gridSpan w:val="3"/>
            <w:tcBorders>
              <w:top w:val="nil"/>
              <w:left w:val="nil"/>
              <w:bottom w:val="nil"/>
              <w:right w:val="nil"/>
            </w:tcBorders>
            <w:shd w:val="clear" w:color="auto" w:fill="auto"/>
            <w:tcMar>
              <w:top w:w="0" w:type="dxa"/>
              <w:left w:w="0" w:type="dxa"/>
              <w:bottom w:w="0" w:type="dxa"/>
              <w:right w:w="0" w:type="dxa"/>
            </w:tcMar>
            <w:vAlign w:val="bottom"/>
            <w:hideMark/>
          </w:tcPr>
          <w:p w:rsidR="000D60AE" w:rsidRPr="000D60AE" w:rsidRDefault="000D60AE">
            <w:pPr>
              <w:pStyle w:val="tc"/>
              <w:spacing w:before="0" w:beforeAutospacing="0" w:after="0" w:afterAutospacing="0"/>
              <w:jc w:val="center"/>
            </w:pPr>
            <w:r w:rsidRPr="000D60AE">
              <w:rPr>
                <w:b/>
                <w:bCs/>
              </w:rPr>
              <w:t>О. М. Єремєє</w:t>
            </w:r>
            <w:proofErr w:type="gramStart"/>
            <w:r w:rsidRPr="000D60AE">
              <w:rPr>
                <w:b/>
                <w:bCs/>
              </w:rPr>
              <w:t>в</w:t>
            </w:r>
            <w:proofErr w:type="gramEnd"/>
          </w:p>
        </w:tc>
      </w:tr>
    </w:tbl>
    <w:p w:rsidR="00235CE6" w:rsidRPr="000D60AE" w:rsidRDefault="00235CE6"/>
    <w:sectPr w:rsidR="00235CE6" w:rsidRPr="000D60AE" w:rsidSect="00235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3FF"/>
    <w:multiLevelType w:val="multilevel"/>
    <w:tmpl w:val="EED61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D60AE"/>
    <w:rsid w:val="000D60AE"/>
    <w:rsid w:val="00235CE6"/>
    <w:rsid w:val="0071756D"/>
    <w:rsid w:val="007B6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AE"/>
    <w:rPr>
      <w:rFonts w:ascii="Times New Roman" w:eastAsia="Times New Roman" w:hAnsi="Times New Roman"/>
      <w:sz w:val="24"/>
      <w:szCs w:val="24"/>
      <w:lang w:val="uk-UA"/>
    </w:rPr>
  </w:style>
  <w:style w:type="paragraph" w:styleId="1">
    <w:name w:val="heading 1"/>
    <w:basedOn w:val="a"/>
    <w:link w:val="10"/>
    <w:qFormat/>
    <w:rsid w:val="000D60AE"/>
    <w:pPr>
      <w:spacing w:before="100" w:beforeAutospacing="1" w:after="100" w:afterAutospacing="1"/>
      <w:outlineLvl w:val="0"/>
    </w:pPr>
    <w:rPr>
      <w:b/>
      <w:bCs/>
      <w:kern w:val="36"/>
      <w:sz w:val="48"/>
      <w:szCs w:val="48"/>
      <w:lang w:val="ru-RU"/>
    </w:rPr>
  </w:style>
  <w:style w:type="paragraph" w:styleId="2">
    <w:name w:val="heading 2"/>
    <w:basedOn w:val="a"/>
    <w:link w:val="20"/>
    <w:semiHidden/>
    <w:unhideWhenUsed/>
    <w:qFormat/>
    <w:rsid w:val="000D60AE"/>
    <w:pPr>
      <w:spacing w:before="100" w:beforeAutospacing="1" w:after="100" w:afterAutospacing="1"/>
      <w:outlineLvl w:val="1"/>
    </w:pPr>
    <w:rPr>
      <w:b/>
      <w:bCs/>
      <w:sz w:val="36"/>
      <w:szCs w:val="36"/>
      <w:lang w:val="ru-RU"/>
    </w:rPr>
  </w:style>
  <w:style w:type="paragraph" w:styleId="3">
    <w:name w:val="heading 3"/>
    <w:basedOn w:val="a"/>
    <w:link w:val="30"/>
    <w:uiPriority w:val="9"/>
    <w:qFormat/>
    <w:rsid w:val="007175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56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0D60AE"/>
    <w:rPr>
      <w:rFonts w:ascii="Times New Roman" w:eastAsia="Times New Roman" w:hAnsi="Times New Roman"/>
      <w:b/>
      <w:bCs/>
      <w:kern w:val="36"/>
      <w:sz w:val="48"/>
      <w:szCs w:val="48"/>
    </w:rPr>
  </w:style>
  <w:style w:type="character" w:customStyle="1" w:styleId="20">
    <w:name w:val="Заголовок 2 Знак"/>
    <w:basedOn w:val="a0"/>
    <w:link w:val="2"/>
    <w:semiHidden/>
    <w:rsid w:val="000D60AE"/>
    <w:rPr>
      <w:rFonts w:ascii="Times New Roman" w:eastAsia="Times New Roman" w:hAnsi="Times New Roman"/>
      <w:b/>
      <w:bCs/>
      <w:sz w:val="36"/>
      <w:szCs w:val="36"/>
    </w:rPr>
  </w:style>
  <w:style w:type="character" w:styleId="a3">
    <w:name w:val="Hyperlink"/>
    <w:basedOn w:val="a0"/>
    <w:semiHidden/>
    <w:unhideWhenUsed/>
    <w:rsid w:val="000D60AE"/>
    <w:rPr>
      <w:color w:val="0000FF"/>
      <w:u w:val="single"/>
    </w:rPr>
  </w:style>
  <w:style w:type="character" w:styleId="a4">
    <w:name w:val="FollowedHyperlink"/>
    <w:basedOn w:val="a0"/>
    <w:uiPriority w:val="99"/>
    <w:semiHidden/>
    <w:unhideWhenUsed/>
    <w:rsid w:val="000D60AE"/>
    <w:rPr>
      <w:color w:val="800080" w:themeColor="followedHyperlink"/>
      <w:u w:val="single"/>
    </w:rPr>
  </w:style>
  <w:style w:type="paragraph" w:customStyle="1" w:styleId="tc">
    <w:name w:val="tc"/>
    <w:basedOn w:val="a"/>
    <w:rsid w:val="000D60AE"/>
    <w:pPr>
      <w:spacing w:before="100" w:beforeAutospacing="1" w:after="100" w:afterAutospacing="1"/>
    </w:pPr>
    <w:rPr>
      <w:lang w:val="ru-RU"/>
    </w:rPr>
  </w:style>
  <w:style w:type="paragraph" w:customStyle="1" w:styleId="tcbmf">
    <w:name w:val="tc bmf"/>
    <w:basedOn w:val="a"/>
    <w:rsid w:val="000D60AE"/>
    <w:pPr>
      <w:spacing w:before="100" w:beforeAutospacing="1" w:after="100" w:afterAutospacing="1"/>
    </w:pPr>
    <w:rPr>
      <w:lang w:val="ru-RU"/>
    </w:rPr>
  </w:style>
  <w:style w:type="paragraph" w:customStyle="1" w:styleId="tjbmf">
    <w:name w:val="tj bmf"/>
    <w:basedOn w:val="a"/>
    <w:rsid w:val="000D60AE"/>
    <w:pPr>
      <w:spacing w:before="100" w:beforeAutospacing="1" w:after="100" w:afterAutospacing="1"/>
    </w:pPr>
    <w:rPr>
      <w:lang w:val="ru-RU"/>
    </w:rPr>
  </w:style>
  <w:style w:type="paragraph" w:customStyle="1" w:styleId="tj">
    <w:name w:val="tj"/>
    <w:basedOn w:val="a"/>
    <w:rsid w:val="000D60AE"/>
    <w:pPr>
      <w:spacing w:before="100" w:beforeAutospacing="1" w:after="100" w:afterAutospacing="1"/>
    </w:pPr>
    <w:rPr>
      <w:lang w:val="ru-RU"/>
    </w:rPr>
  </w:style>
  <w:style w:type="paragraph" w:customStyle="1" w:styleId="tlreflinkmrw45">
    <w:name w:val="tl reflink mr w45"/>
    <w:basedOn w:val="a"/>
    <w:rsid w:val="000D60AE"/>
    <w:pPr>
      <w:spacing w:before="100" w:beforeAutospacing="1" w:after="100" w:afterAutospacing="1"/>
    </w:pPr>
    <w:rPr>
      <w:lang w:val="ru-RU"/>
    </w:rPr>
  </w:style>
  <w:style w:type="paragraph" w:customStyle="1" w:styleId="tl">
    <w:name w:val="tl"/>
    <w:basedOn w:val="a"/>
    <w:rsid w:val="000D60AE"/>
    <w:pPr>
      <w:spacing w:before="100" w:beforeAutospacing="1" w:after="100" w:afterAutospacing="1"/>
    </w:pPr>
    <w:rPr>
      <w:lang w:val="ru-RU"/>
    </w:rPr>
  </w:style>
  <w:style w:type="character" w:customStyle="1" w:styleId="apple-converted-space">
    <w:name w:val="apple-converted-space"/>
    <w:basedOn w:val="a0"/>
    <w:rsid w:val="000D60AE"/>
  </w:style>
  <w:style w:type="character" w:styleId="a5">
    <w:name w:val="Strong"/>
    <w:basedOn w:val="a0"/>
    <w:qFormat/>
    <w:rsid w:val="000D60AE"/>
    <w:rPr>
      <w:b/>
      <w:bCs/>
    </w:rPr>
  </w:style>
  <w:style w:type="paragraph" w:styleId="a6">
    <w:name w:val="Balloon Text"/>
    <w:basedOn w:val="a"/>
    <w:link w:val="a7"/>
    <w:uiPriority w:val="99"/>
    <w:semiHidden/>
    <w:unhideWhenUsed/>
    <w:rsid w:val="000D60AE"/>
    <w:rPr>
      <w:rFonts w:ascii="Tahoma" w:hAnsi="Tahoma" w:cs="Tahoma"/>
      <w:sz w:val="16"/>
      <w:szCs w:val="16"/>
    </w:rPr>
  </w:style>
  <w:style w:type="character" w:customStyle="1" w:styleId="a7">
    <w:name w:val="Текст выноски Знак"/>
    <w:basedOn w:val="a0"/>
    <w:link w:val="a6"/>
    <w:uiPriority w:val="99"/>
    <w:semiHidden/>
    <w:rsid w:val="000D60AE"/>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3334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2572.html" TargetMode="External"/><Relationship Id="rId13" Type="http://schemas.openxmlformats.org/officeDocument/2006/relationships/hyperlink" Target="http://search.ligazakon.ua/l_doc2.nsf/link1/RE10193.html" TargetMode="External"/><Relationship Id="rId18" Type="http://schemas.openxmlformats.org/officeDocument/2006/relationships/hyperlink" Target="http://search.ligazakon.ua/l_doc2.nsf/link1/RE17747.html" TargetMode="External"/><Relationship Id="rId26" Type="http://schemas.openxmlformats.org/officeDocument/2006/relationships/hyperlink" Target="http://search.ligazakon.ua/l_doc2.nsf/link1/KP071006.html" TargetMode="External"/><Relationship Id="rId3" Type="http://schemas.openxmlformats.org/officeDocument/2006/relationships/settings" Target="settings.xml"/><Relationship Id="rId21" Type="http://schemas.openxmlformats.org/officeDocument/2006/relationships/hyperlink" Target="http://search.ligazakon.ua/l_doc2.nsf/link1/T052862.html" TargetMode="External"/><Relationship Id="rId7" Type="http://schemas.openxmlformats.org/officeDocument/2006/relationships/hyperlink" Target="http://search.ligazakon.ua/l_doc2.nsf/link1/T125403.html" TargetMode="External"/><Relationship Id="rId12" Type="http://schemas.openxmlformats.org/officeDocument/2006/relationships/hyperlink" Target="http://search.ligazakon.ua/l_doc2.nsf/link1/MOZ396.html" TargetMode="External"/><Relationship Id="rId17" Type="http://schemas.openxmlformats.org/officeDocument/2006/relationships/hyperlink" Target="http://search.ligazakon.ua/l_doc2.nsf/link1/KP150083.html" TargetMode="External"/><Relationship Id="rId25" Type="http://schemas.openxmlformats.org/officeDocument/2006/relationships/hyperlink" Target="http://search.ligazakon.ua/l_doc2.nsf/link1/KP110893.html" TargetMode="External"/><Relationship Id="rId2" Type="http://schemas.openxmlformats.org/officeDocument/2006/relationships/styles" Target="styles.xml"/><Relationship Id="rId16" Type="http://schemas.openxmlformats.org/officeDocument/2006/relationships/hyperlink" Target="http://search.ligazakon.ua/l_doc2.nsf/link1/FIN45087.html" TargetMode="External"/><Relationship Id="rId20" Type="http://schemas.openxmlformats.org/officeDocument/2006/relationships/hyperlink" Target="http://search.ligazakon.ua/l_doc2.nsf/link1/FIN61676.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earch.ligazakon.ua/l_flib1.nsf/LookupFiles/TSIGN.GIF/$file/TSIGN.GIF" TargetMode="External"/><Relationship Id="rId11" Type="http://schemas.openxmlformats.org/officeDocument/2006/relationships/hyperlink" Target="http://search.ligazakon.ua/l_doc2.nsf/link1/RE12786.html" TargetMode="External"/><Relationship Id="rId24" Type="http://schemas.openxmlformats.org/officeDocument/2006/relationships/hyperlink" Target="http://search.ligazakon.ua/l_doc2.nsf/link1/FIN53529.html" TargetMode="External"/><Relationship Id="rId5" Type="http://schemas.openxmlformats.org/officeDocument/2006/relationships/image" Target="media/image1.gif"/><Relationship Id="rId15" Type="http://schemas.openxmlformats.org/officeDocument/2006/relationships/hyperlink" Target="http://search.ligazakon.ua/l_doc2.nsf/link1/MU86K03U.html" TargetMode="External"/><Relationship Id="rId23" Type="http://schemas.openxmlformats.org/officeDocument/2006/relationships/hyperlink" Target="http://search.ligazakon.ua/l_doc2.nsf/link1/T012245.html" TargetMode="External"/><Relationship Id="rId28" Type="http://schemas.openxmlformats.org/officeDocument/2006/relationships/fontTable" Target="fontTable.xml"/><Relationship Id="rId10" Type="http://schemas.openxmlformats.org/officeDocument/2006/relationships/hyperlink" Target="http://search.ligazakon.ua/l_doc2.nsf/link1/T052862.html" TargetMode="External"/><Relationship Id="rId19" Type="http://schemas.openxmlformats.org/officeDocument/2006/relationships/hyperlink" Target="http://search.ligazakon.ua/l_doc2.nsf/link1/FIN23025.html" TargetMode="External"/><Relationship Id="rId4" Type="http://schemas.openxmlformats.org/officeDocument/2006/relationships/webSettings" Target="webSettings.xml"/><Relationship Id="rId9" Type="http://schemas.openxmlformats.org/officeDocument/2006/relationships/hyperlink" Target="http://search.ligazakon.ua/l_doc2.nsf/link1/RE12833.html" TargetMode="External"/><Relationship Id="rId14" Type="http://schemas.openxmlformats.org/officeDocument/2006/relationships/hyperlink" Target="http://search.ligazakon.ua/l_doc2.nsf/link1/MOZ396.html" TargetMode="External"/><Relationship Id="rId22" Type="http://schemas.openxmlformats.org/officeDocument/2006/relationships/hyperlink" Target="http://search.ligazakon.ua/l_doc2.nsf/link1/RE12833.html" TargetMode="External"/><Relationship Id="rId27" Type="http://schemas.openxmlformats.org/officeDocument/2006/relationships/hyperlink" Target="http://search.ligazakon.ua/l_doc2.nsf/link1/REG47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6466</Words>
  <Characters>36861</Characters>
  <Application>Microsoft Office Word</Application>
  <DocSecurity>0</DocSecurity>
  <Lines>307</Lines>
  <Paragraphs>86</Paragraphs>
  <ScaleCrop>false</ScaleCrop>
  <Company/>
  <LinksUpToDate>false</LinksUpToDate>
  <CharactersWithSpaces>43241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2018-09-21T10:45:00Z</dcterms:created>
  <dcterms:modified xsi:type="dcterms:W3CDTF">2018-09-21T10:49:00Z</dcterms:modified>
</cp:coreProperties>
</file>