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59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F62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5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731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E939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D73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256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16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D73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B5A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 w:rsidRPr="00865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 акціонерного товариства «Ніжинська меблева фабрика»</w:t>
      </w:r>
      <w:r w:rsidR="00F603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DB3B24" w:rsidRDefault="0064296A" w:rsidP="00E45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</w:t>
      </w:r>
      <w:r w:rsidR="001E01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цих ділянках, земельну ділянку </w:t>
      </w:r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земель промисловості, транспорту, зв’язку, енергетики, оборони та іншого призначення  для розміщення та експлуатації основних,  підсобних і допоміжних будівель та споруд підприємств переробної, машинобудівної та іншої промисловості, площею 3,6003 га за адресою: вул. </w:t>
      </w:r>
      <w:proofErr w:type="spellStart"/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53, м. Ніжин Чернігівської області, кадастровий номер 7410400000:02:005:0053, для розміщення комплексу нежитлових будівель, які є власністю приватного  акціонерного товариства «Ніжинська меблева фабрика» згідно свідоцтва про право власності на нерухоме майно від 11.07.2007 року,  земельна ділянка перебуває у постійному користуванн</w:t>
      </w:r>
      <w:r w:rsidR="007159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51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Державного акту на право постійного користування землею від 25 травня 1994р., серія ЧН № 38,  номер запису про інше речове право: 41412904 від 10.09.2020р. </w:t>
      </w:r>
    </w:p>
    <w:p w:rsidR="00064204" w:rsidRDefault="00D47BC9" w:rsidP="00AE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321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 w:rsidRPr="0043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</w:t>
      </w:r>
    </w:p>
    <w:p w:rsidR="00585562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D73D64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</w:t>
      </w:r>
      <w:r w:rsidR="00D73D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935EF8" w:rsidRPr="00C95658" w:rsidRDefault="00D73D64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7606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0D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5EF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5EF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0CAC" w:rsidRDefault="00F20CAC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F0" w:rsidRDefault="009152F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F0" w:rsidRDefault="009152F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F0" w:rsidRDefault="009152F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52F0" w:rsidRDefault="009152F0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5D71" w:rsidRDefault="00B15D71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40C74" w:rsidRDefault="00040C7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1C50B9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4E70FB" w:rsidRDefault="004E70FB" w:rsidP="004E70FB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4E70FB" w:rsidRDefault="004E70FB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0B9" w:rsidRPr="004E70FB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0FB">
        <w:rPr>
          <w:rFonts w:ascii="Times New Roman" w:hAnsi="Times New Roman" w:cs="Times New Roman"/>
          <w:sz w:val="28"/>
          <w:szCs w:val="28"/>
          <w:lang w:val="uk-UA"/>
        </w:rPr>
        <w:t xml:space="preserve">постійна комісія міської ради з питань </w:t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регулювання земельних відносин,  </w:t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архітектури, будівництва та охорони                                   </w:t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70F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навколишнього середовища                                               </w:t>
      </w:r>
      <w:proofErr w:type="spellStart"/>
      <w:r w:rsidRPr="004E70FB"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 w:rsidRPr="004E70FB">
        <w:rPr>
          <w:rFonts w:ascii="Times New Roman" w:hAnsi="Times New Roman" w:cs="Times New Roman"/>
          <w:sz w:val="28"/>
          <w:szCs w:val="28"/>
          <w:lang w:val="uk-UA"/>
        </w:rPr>
        <w:t xml:space="preserve">  ГЛОТКО</w:t>
      </w:r>
    </w:p>
    <w:p w:rsidR="001C50B9" w:rsidRPr="004E70FB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0B9" w:rsidRPr="009771CE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                       </w:t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регламенту, законності, охорони прав                                                            </w:t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         і свобод громадян, запобігання корупції,                            </w:t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            адміністративно-територіального устрою,                                       </w:t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9771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депутатської діяльності та етики                                          Валерій САЛОГУБ</w:t>
      </w:r>
    </w:p>
    <w:p w:rsidR="001C50B9" w:rsidRPr="009771CE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C50B9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1C50B9" w:rsidRPr="00B15617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97217B" w:rsidRPr="0097217B" w:rsidRDefault="0097217B" w:rsidP="001C50B9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671FD4" w:rsidRPr="00D2558D" w:rsidRDefault="00671FD4" w:rsidP="00671FD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71FD4" w:rsidRDefault="00671FD4" w:rsidP="00671F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97217B" w:rsidRDefault="0097217B" w:rsidP="00671F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</w:p>
    <w:p w:rsidR="00671FD4" w:rsidRPr="0097217B" w:rsidRDefault="0097217B" w:rsidP="00671FD4">
      <w:pPr>
        <w:tabs>
          <w:tab w:val="left" w:pos="7620"/>
        </w:tabs>
        <w:jc w:val="both"/>
        <w:rPr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53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Сергій САВЧЕНКО</w:t>
      </w:r>
    </w:p>
    <w:p w:rsidR="009152F0" w:rsidRDefault="00B1098A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</w:t>
      </w:r>
      <w:r w:rsidR="009152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</w:p>
    <w:p w:rsidR="000971F0" w:rsidRDefault="009152F0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776F" w:rsidRDefault="000971F0" w:rsidP="003848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до </w:t>
      </w:r>
      <w:proofErr w:type="spellStart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 керуючись рішенням Ніжинської міської ради від 26.09.2018 року  </w:t>
      </w:r>
      <w:r w:rsidR="00487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5-43/2018  «Про визначення відсоткового розміру авансового внеску вартості земельних ділянок за нормативною грошовою оцінкою»</w:t>
      </w:r>
      <w:r w:rsid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848DD" w:rsidRPr="00384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7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заяву приватного  акціонерного товариства «Ніжинська меблева фабрика».</w:t>
      </w:r>
    </w:p>
    <w:p w:rsidR="003848DD" w:rsidRDefault="00FB776F" w:rsidP="003848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84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Відповідальний за підготовку даного проекту рішення</w:t>
      </w:r>
      <w:r w:rsidR="003848DD"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848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начальник відділу земельних відносин управління комунального майна та земельних відносин Ніжинської міської ради Яковенко В.В.</w:t>
      </w:r>
    </w:p>
    <w:p w:rsidR="001653B2" w:rsidRPr="00FC34B8" w:rsidRDefault="003A2309" w:rsidP="00FC34B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даному проекті рішення розглядається пита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 внесення в перелік земельної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несільськогосподарського призначення, що підляга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продажу власник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нерухомого майна, розміщен</w:t>
      </w:r>
      <w:r w:rsidR="00CF7C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ц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r w:rsidR="00097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="00F36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42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  Земельн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42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D42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знаход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D42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за адрес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="00D424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E4E29" w:rsidRP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proofErr w:type="spellStart"/>
      <w:r w:rsidR="00FE4E29" w:rsidRP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Липіврізька</w:t>
      </w:r>
      <w:proofErr w:type="spellEnd"/>
      <w:r w:rsidR="00FE4E29" w:rsidRP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53, </w:t>
      </w:r>
      <w:r w:rsid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FE4E29" w:rsidRP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 Чернігівської області, кадастровий номер 7410400000:02:005:0053, площею 3,6003 га, для розміщення комплексу нежитлових будівель, які є власністю приватного  акціонерного товариства «Ніжинська меблева фабрика» згідно свідоцтва про право власності на нерухоме майно від 11.07.2007 року</w:t>
      </w:r>
      <w:r w:rsidR="00FC34B8" w:rsidRPr="00FC34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71F0" w:rsidRPr="00B66594" w:rsidRDefault="005B3389" w:rsidP="00B66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5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</w:t>
      </w: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24C8" w:rsidRDefault="00C3014C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</w:t>
      </w:r>
    </w:p>
    <w:p w:rsidR="002742B1" w:rsidRDefault="003D24C8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м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Ірина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742B1" w:rsidRDefault="002742B1" w:rsidP="0027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CD18E5" w:rsidRDefault="00CD18E5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CD18E5" w:rsidRDefault="00CD18E5" w:rsidP="00616215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CD18E5" w:rsidSect="00D73D64">
      <w:pgSz w:w="11906" w:h="16838" w:code="9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495D"/>
    <w:rsid w:val="00005357"/>
    <w:rsid w:val="00006549"/>
    <w:rsid w:val="00012020"/>
    <w:rsid w:val="00020D1D"/>
    <w:rsid w:val="00030ACC"/>
    <w:rsid w:val="00040C74"/>
    <w:rsid w:val="000419FC"/>
    <w:rsid w:val="00046C82"/>
    <w:rsid w:val="000470B4"/>
    <w:rsid w:val="00047366"/>
    <w:rsid w:val="00052441"/>
    <w:rsid w:val="00057941"/>
    <w:rsid w:val="00064204"/>
    <w:rsid w:val="00065D25"/>
    <w:rsid w:val="000666F2"/>
    <w:rsid w:val="000711D5"/>
    <w:rsid w:val="00071F79"/>
    <w:rsid w:val="000738A9"/>
    <w:rsid w:val="00075991"/>
    <w:rsid w:val="00080DD8"/>
    <w:rsid w:val="00082BE2"/>
    <w:rsid w:val="00085ADC"/>
    <w:rsid w:val="000963E4"/>
    <w:rsid w:val="000971F0"/>
    <w:rsid w:val="000A52AB"/>
    <w:rsid w:val="000A6FD9"/>
    <w:rsid w:val="000B39E1"/>
    <w:rsid w:val="000B5A5C"/>
    <w:rsid w:val="000B6AB9"/>
    <w:rsid w:val="000B757E"/>
    <w:rsid w:val="000C4B5A"/>
    <w:rsid w:val="000D3BC5"/>
    <w:rsid w:val="000D4D37"/>
    <w:rsid w:val="000D50FD"/>
    <w:rsid w:val="000E199B"/>
    <w:rsid w:val="000E37B3"/>
    <w:rsid w:val="000E4E7B"/>
    <w:rsid w:val="000E5559"/>
    <w:rsid w:val="000F0751"/>
    <w:rsid w:val="000F10BC"/>
    <w:rsid w:val="000F4FB5"/>
    <w:rsid w:val="000F6411"/>
    <w:rsid w:val="000F7A90"/>
    <w:rsid w:val="0010291E"/>
    <w:rsid w:val="00105D5E"/>
    <w:rsid w:val="00107D8A"/>
    <w:rsid w:val="0011060D"/>
    <w:rsid w:val="001106FD"/>
    <w:rsid w:val="0011224E"/>
    <w:rsid w:val="00113102"/>
    <w:rsid w:val="00114BCA"/>
    <w:rsid w:val="00123DE3"/>
    <w:rsid w:val="001277FA"/>
    <w:rsid w:val="001304F0"/>
    <w:rsid w:val="00132FB6"/>
    <w:rsid w:val="00135BA8"/>
    <w:rsid w:val="001362FB"/>
    <w:rsid w:val="001363C7"/>
    <w:rsid w:val="0014323C"/>
    <w:rsid w:val="001453A7"/>
    <w:rsid w:val="00146B17"/>
    <w:rsid w:val="00156212"/>
    <w:rsid w:val="001612DD"/>
    <w:rsid w:val="001630AB"/>
    <w:rsid w:val="0016409A"/>
    <w:rsid w:val="001653B2"/>
    <w:rsid w:val="001671DD"/>
    <w:rsid w:val="001703F6"/>
    <w:rsid w:val="001718C1"/>
    <w:rsid w:val="00177536"/>
    <w:rsid w:val="00181D9A"/>
    <w:rsid w:val="00187A0B"/>
    <w:rsid w:val="00190668"/>
    <w:rsid w:val="00191476"/>
    <w:rsid w:val="001959C4"/>
    <w:rsid w:val="00196FA8"/>
    <w:rsid w:val="001B4F4C"/>
    <w:rsid w:val="001B53ED"/>
    <w:rsid w:val="001C50B9"/>
    <w:rsid w:val="001D1215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1883"/>
    <w:rsid w:val="001F1E2F"/>
    <w:rsid w:val="002013F7"/>
    <w:rsid w:val="00204D31"/>
    <w:rsid w:val="00217EE7"/>
    <w:rsid w:val="00220D5F"/>
    <w:rsid w:val="00230134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EA7"/>
    <w:rsid w:val="0026252F"/>
    <w:rsid w:val="0026530B"/>
    <w:rsid w:val="00273AAE"/>
    <w:rsid w:val="002742B1"/>
    <w:rsid w:val="00274A2A"/>
    <w:rsid w:val="00274C20"/>
    <w:rsid w:val="00276CF1"/>
    <w:rsid w:val="00277C34"/>
    <w:rsid w:val="00282C90"/>
    <w:rsid w:val="0028395E"/>
    <w:rsid w:val="00296DA4"/>
    <w:rsid w:val="002A0A19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2E7629"/>
    <w:rsid w:val="003004C5"/>
    <w:rsid w:val="003027E6"/>
    <w:rsid w:val="003142A7"/>
    <w:rsid w:val="00320962"/>
    <w:rsid w:val="003209AE"/>
    <w:rsid w:val="0032199F"/>
    <w:rsid w:val="00323C9F"/>
    <w:rsid w:val="00323FC6"/>
    <w:rsid w:val="0033525C"/>
    <w:rsid w:val="0033778E"/>
    <w:rsid w:val="0034547A"/>
    <w:rsid w:val="00347DF7"/>
    <w:rsid w:val="00356540"/>
    <w:rsid w:val="00356A98"/>
    <w:rsid w:val="00372837"/>
    <w:rsid w:val="00375C77"/>
    <w:rsid w:val="003848DD"/>
    <w:rsid w:val="00384D31"/>
    <w:rsid w:val="00392193"/>
    <w:rsid w:val="003938C1"/>
    <w:rsid w:val="0039564B"/>
    <w:rsid w:val="00395790"/>
    <w:rsid w:val="003972C3"/>
    <w:rsid w:val="003A2309"/>
    <w:rsid w:val="003B1D70"/>
    <w:rsid w:val="003B1D9C"/>
    <w:rsid w:val="003B7585"/>
    <w:rsid w:val="003D2202"/>
    <w:rsid w:val="003D24C8"/>
    <w:rsid w:val="003E04DF"/>
    <w:rsid w:val="003E2308"/>
    <w:rsid w:val="003E5A2F"/>
    <w:rsid w:val="003E6D82"/>
    <w:rsid w:val="003E73F9"/>
    <w:rsid w:val="003F1F22"/>
    <w:rsid w:val="003F6BC9"/>
    <w:rsid w:val="0040250B"/>
    <w:rsid w:val="0040585E"/>
    <w:rsid w:val="004106CA"/>
    <w:rsid w:val="00410D5D"/>
    <w:rsid w:val="004173E6"/>
    <w:rsid w:val="0042000F"/>
    <w:rsid w:val="00420597"/>
    <w:rsid w:val="00422D24"/>
    <w:rsid w:val="0043214A"/>
    <w:rsid w:val="00433B43"/>
    <w:rsid w:val="004352F6"/>
    <w:rsid w:val="00436720"/>
    <w:rsid w:val="004375CC"/>
    <w:rsid w:val="0044101A"/>
    <w:rsid w:val="00447ED6"/>
    <w:rsid w:val="004610C6"/>
    <w:rsid w:val="0046441A"/>
    <w:rsid w:val="00465BDC"/>
    <w:rsid w:val="004671C5"/>
    <w:rsid w:val="004745A3"/>
    <w:rsid w:val="00483119"/>
    <w:rsid w:val="00487D58"/>
    <w:rsid w:val="00492AFD"/>
    <w:rsid w:val="00497F1C"/>
    <w:rsid w:val="004A023C"/>
    <w:rsid w:val="004A1B05"/>
    <w:rsid w:val="004A3B84"/>
    <w:rsid w:val="004B0037"/>
    <w:rsid w:val="004B08DD"/>
    <w:rsid w:val="004B187D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E51E5"/>
    <w:rsid w:val="004E6078"/>
    <w:rsid w:val="004E70FB"/>
    <w:rsid w:val="004F340E"/>
    <w:rsid w:val="004F6430"/>
    <w:rsid w:val="00510D7A"/>
    <w:rsid w:val="0051487F"/>
    <w:rsid w:val="0051537E"/>
    <w:rsid w:val="00517E02"/>
    <w:rsid w:val="0052043E"/>
    <w:rsid w:val="00521AE3"/>
    <w:rsid w:val="005236CD"/>
    <w:rsid w:val="00524AAC"/>
    <w:rsid w:val="00525ABA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37DE"/>
    <w:rsid w:val="005A1889"/>
    <w:rsid w:val="005A61A0"/>
    <w:rsid w:val="005B2C50"/>
    <w:rsid w:val="005B3389"/>
    <w:rsid w:val="005B359C"/>
    <w:rsid w:val="005C4DB7"/>
    <w:rsid w:val="005C6537"/>
    <w:rsid w:val="005C67CB"/>
    <w:rsid w:val="005E3859"/>
    <w:rsid w:val="005E42D8"/>
    <w:rsid w:val="005F33D8"/>
    <w:rsid w:val="005F4821"/>
    <w:rsid w:val="005F4C0E"/>
    <w:rsid w:val="005F6521"/>
    <w:rsid w:val="005F6555"/>
    <w:rsid w:val="00602284"/>
    <w:rsid w:val="006119BD"/>
    <w:rsid w:val="00616215"/>
    <w:rsid w:val="00623E30"/>
    <w:rsid w:val="006301BC"/>
    <w:rsid w:val="00632745"/>
    <w:rsid w:val="00632BFD"/>
    <w:rsid w:val="0064296A"/>
    <w:rsid w:val="006448CA"/>
    <w:rsid w:val="00653F4C"/>
    <w:rsid w:val="00654163"/>
    <w:rsid w:val="006560C9"/>
    <w:rsid w:val="00656359"/>
    <w:rsid w:val="00664738"/>
    <w:rsid w:val="00671FD4"/>
    <w:rsid w:val="00674E57"/>
    <w:rsid w:val="00676060"/>
    <w:rsid w:val="00676EC2"/>
    <w:rsid w:val="006869F0"/>
    <w:rsid w:val="0069145F"/>
    <w:rsid w:val="006927D9"/>
    <w:rsid w:val="00696135"/>
    <w:rsid w:val="00696D1C"/>
    <w:rsid w:val="006A1A66"/>
    <w:rsid w:val="006A22DD"/>
    <w:rsid w:val="006A40CE"/>
    <w:rsid w:val="006A4F12"/>
    <w:rsid w:val="006B0820"/>
    <w:rsid w:val="006C296D"/>
    <w:rsid w:val="006C3BA8"/>
    <w:rsid w:val="006C495C"/>
    <w:rsid w:val="006C5A11"/>
    <w:rsid w:val="006D083E"/>
    <w:rsid w:val="006D2952"/>
    <w:rsid w:val="006D320E"/>
    <w:rsid w:val="006E43D7"/>
    <w:rsid w:val="006E60C6"/>
    <w:rsid w:val="006F3800"/>
    <w:rsid w:val="006F3B31"/>
    <w:rsid w:val="00705315"/>
    <w:rsid w:val="00705B2A"/>
    <w:rsid w:val="007068C0"/>
    <w:rsid w:val="00711418"/>
    <w:rsid w:val="00711A32"/>
    <w:rsid w:val="00711D63"/>
    <w:rsid w:val="0071598B"/>
    <w:rsid w:val="00716C61"/>
    <w:rsid w:val="00732692"/>
    <w:rsid w:val="0073293C"/>
    <w:rsid w:val="00745023"/>
    <w:rsid w:val="00745622"/>
    <w:rsid w:val="00750008"/>
    <w:rsid w:val="00750692"/>
    <w:rsid w:val="00752E82"/>
    <w:rsid w:val="0075780A"/>
    <w:rsid w:val="0076026A"/>
    <w:rsid w:val="00765B03"/>
    <w:rsid w:val="0077330E"/>
    <w:rsid w:val="007733BA"/>
    <w:rsid w:val="007934FA"/>
    <w:rsid w:val="007950B8"/>
    <w:rsid w:val="007952E3"/>
    <w:rsid w:val="007A419B"/>
    <w:rsid w:val="007A4DD6"/>
    <w:rsid w:val="007A55D7"/>
    <w:rsid w:val="007A6165"/>
    <w:rsid w:val="007A6FBF"/>
    <w:rsid w:val="007A73F8"/>
    <w:rsid w:val="007B2249"/>
    <w:rsid w:val="007C5092"/>
    <w:rsid w:val="007C7B88"/>
    <w:rsid w:val="007D6B13"/>
    <w:rsid w:val="007E4D6D"/>
    <w:rsid w:val="007E5057"/>
    <w:rsid w:val="007E606C"/>
    <w:rsid w:val="007F2F4B"/>
    <w:rsid w:val="007F33D1"/>
    <w:rsid w:val="007F4AC0"/>
    <w:rsid w:val="007F5116"/>
    <w:rsid w:val="00800D4F"/>
    <w:rsid w:val="00807CED"/>
    <w:rsid w:val="008131DD"/>
    <w:rsid w:val="008133E0"/>
    <w:rsid w:val="00814575"/>
    <w:rsid w:val="00821B8A"/>
    <w:rsid w:val="00821D6F"/>
    <w:rsid w:val="00827086"/>
    <w:rsid w:val="0083002E"/>
    <w:rsid w:val="008402B1"/>
    <w:rsid w:val="0084338B"/>
    <w:rsid w:val="0084565A"/>
    <w:rsid w:val="00850C08"/>
    <w:rsid w:val="0085175D"/>
    <w:rsid w:val="00852792"/>
    <w:rsid w:val="00852C90"/>
    <w:rsid w:val="00852FE9"/>
    <w:rsid w:val="00857969"/>
    <w:rsid w:val="008627BB"/>
    <w:rsid w:val="00864354"/>
    <w:rsid w:val="00865534"/>
    <w:rsid w:val="00866325"/>
    <w:rsid w:val="00866C8D"/>
    <w:rsid w:val="0088376C"/>
    <w:rsid w:val="00883AC6"/>
    <w:rsid w:val="00883F99"/>
    <w:rsid w:val="00886341"/>
    <w:rsid w:val="008916F6"/>
    <w:rsid w:val="00895F8D"/>
    <w:rsid w:val="008A5CC9"/>
    <w:rsid w:val="008A641F"/>
    <w:rsid w:val="008C7934"/>
    <w:rsid w:val="008C79D9"/>
    <w:rsid w:val="008D70D3"/>
    <w:rsid w:val="008E7D90"/>
    <w:rsid w:val="008F1C8F"/>
    <w:rsid w:val="008F5D6C"/>
    <w:rsid w:val="009012FA"/>
    <w:rsid w:val="009013B8"/>
    <w:rsid w:val="00902676"/>
    <w:rsid w:val="00913FB7"/>
    <w:rsid w:val="009152F0"/>
    <w:rsid w:val="009256B5"/>
    <w:rsid w:val="00927CEE"/>
    <w:rsid w:val="009344C0"/>
    <w:rsid w:val="00935044"/>
    <w:rsid w:val="00935EF8"/>
    <w:rsid w:val="009376EC"/>
    <w:rsid w:val="00943F54"/>
    <w:rsid w:val="00947EF1"/>
    <w:rsid w:val="00952CA6"/>
    <w:rsid w:val="009564D2"/>
    <w:rsid w:val="009573E7"/>
    <w:rsid w:val="009700D1"/>
    <w:rsid w:val="009705F8"/>
    <w:rsid w:val="0097217B"/>
    <w:rsid w:val="00975491"/>
    <w:rsid w:val="009761AC"/>
    <w:rsid w:val="009771CE"/>
    <w:rsid w:val="00983F41"/>
    <w:rsid w:val="00984BDD"/>
    <w:rsid w:val="00985019"/>
    <w:rsid w:val="00992E3F"/>
    <w:rsid w:val="00994A84"/>
    <w:rsid w:val="009953DC"/>
    <w:rsid w:val="009A150B"/>
    <w:rsid w:val="009A2376"/>
    <w:rsid w:val="009A517A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9F010B"/>
    <w:rsid w:val="009F1301"/>
    <w:rsid w:val="009F140E"/>
    <w:rsid w:val="009F4E7E"/>
    <w:rsid w:val="00A042DD"/>
    <w:rsid w:val="00A12043"/>
    <w:rsid w:val="00A166F4"/>
    <w:rsid w:val="00A20440"/>
    <w:rsid w:val="00A33C76"/>
    <w:rsid w:val="00A3691A"/>
    <w:rsid w:val="00A4026A"/>
    <w:rsid w:val="00A41C86"/>
    <w:rsid w:val="00A41FDB"/>
    <w:rsid w:val="00A44FD3"/>
    <w:rsid w:val="00A53279"/>
    <w:rsid w:val="00A6424C"/>
    <w:rsid w:val="00A65522"/>
    <w:rsid w:val="00A706AF"/>
    <w:rsid w:val="00A75D48"/>
    <w:rsid w:val="00A8066B"/>
    <w:rsid w:val="00A814D8"/>
    <w:rsid w:val="00A90B2A"/>
    <w:rsid w:val="00A96D58"/>
    <w:rsid w:val="00A96EF3"/>
    <w:rsid w:val="00A970D0"/>
    <w:rsid w:val="00AA201F"/>
    <w:rsid w:val="00AA497F"/>
    <w:rsid w:val="00AA5DCD"/>
    <w:rsid w:val="00AA7F0C"/>
    <w:rsid w:val="00AC095C"/>
    <w:rsid w:val="00AD68DB"/>
    <w:rsid w:val="00AE65F2"/>
    <w:rsid w:val="00AF0033"/>
    <w:rsid w:val="00AF059F"/>
    <w:rsid w:val="00AF5303"/>
    <w:rsid w:val="00AF6997"/>
    <w:rsid w:val="00AF6ABB"/>
    <w:rsid w:val="00AF768B"/>
    <w:rsid w:val="00B04284"/>
    <w:rsid w:val="00B05972"/>
    <w:rsid w:val="00B1098A"/>
    <w:rsid w:val="00B112CC"/>
    <w:rsid w:val="00B1221C"/>
    <w:rsid w:val="00B15D71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60E5A"/>
    <w:rsid w:val="00B62256"/>
    <w:rsid w:val="00B66120"/>
    <w:rsid w:val="00B661E4"/>
    <w:rsid w:val="00B66594"/>
    <w:rsid w:val="00B66BE0"/>
    <w:rsid w:val="00B74DE7"/>
    <w:rsid w:val="00B75397"/>
    <w:rsid w:val="00B84F2C"/>
    <w:rsid w:val="00B9174A"/>
    <w:rsid w:val="00B9229D"/>
    <w:rsid w:val="00B952F8"/>
    <w:rsid w:val="00BA4E9C"/>
    <w:rsid w:val="00BA6DC6"/>
    <w:rsid w:val="00BC1B24"/>
    <w:rsid w:val="00BC7604"/>
    <w:rsid w:val="00BD7445"/>
    <w:rsid w:val="00BE042A"/>
    <w:rsid w:val="00BE0EFF"/>
    <w:rsid w:val="00BE67DA"/>
    <w:rsid w:val="00BE78CF"/>
    <w:rsid w:val="00BF0C08"/>
    <w:rsid w:val="00BF56BF"/>
    <w:rsid w:val="00C02FB8"/>
    <w:rsid w:val="00C0372B"/>
    <w:rsid w:val="00C03D55"/>
    <w:rsid w:val="00C13F92"/>
    <w:rsid w:val="00C14ED6"/>
    <w:rsid w:val="00C16274"/>
    <w:rsid w:val="00C17F2F"/>
    <w:rsid w:val="00C20A14"/>
    <w:rsid w:val="00C257DB"/>
    <w:rsid w:val="00C3014C"/>
    <w:rsid w:val="00C37F53"/>
    <w:rsid w:val="00C40A7D"/>
    <w:rsid w:val="00C4135D"/>
    <w:rsid w:val="00C43FE6"/>
    <w:rsid w:val="00C45DC0"/>
    <w:rsid w:val="00C46848"/>
    <w:rsid w:val="00C51C1B"/>
    <w:rsid w:val="00C53F27"/>
    <w:rsid w:val="00C562F6"/>
    <w:rsid w:val="00C73107"/>
    <w:rsid w:val="00C82A67"/>
    <w:rsid w:val="00C8434B"/>
    <w:rsid w:val="00C859B2"/>
    <w:rsid w:val="00C91AD7"/>
    <w:rsid w:val="00C948BC"/>
    <w:rsid w:val="00C96F5A"/>
    <w:rsid w:val="00C97661"/>
    <w:rsid w:val="00CA1452"/>
    <w:rsid w:val="00CA7245"/>
    <w:rsid w:val="00CC0FD4"/>
    <w:rsid w:val="00CC2613"/>
    <w:rsid w:val="00CC4E2A"/>
    <w:rsid w:val="00CC5F68"/>
    <w:rsid w:val="00CC6796"/>
    <w:rsid w:val="00CC6B41"/>
    <w:rsid w:val="00CD18E5"/>
    <w:rsid w:val="00CD37A1"/>
    <w:rsid w:val="00CD5B9E"/>
    <w:rsid w:val="00CD795D"/>
    <w:rsid w:val="00CE1584"/>
    <w:rsid w:val="00CE219F"/>
    <w:rsid w:val="00CE4A1A"/>
    <w:rsid w:val="00CE55EF"/>
    <w:rsid w:val="00CE6616"/>
    <w:rsid w:val="00CE72F3"/>
    <w:rsid w:val="00CF407E"/>
    <w:rsid w:val="00CF7CF1"/>
    <w:rsid w:val="00D00464"/>
    <w:rsid w:val="00D004C7"/>
    <w:rsid w:val="00D04580"/>
    <w:rsid w:val="00D059C7"/>
    <w:rsid w:val="00D13600"/>
    <w:rsid w:val="00D149D9"/>
    <w:rsid w:val="00D20B16"/>
    <w:rsid w:val="00D25628"/>
    <w:rsid w:val="00D35572"/>
    <w:rsid w:val="00D37660"/>
    <w:rsid w:val="00D424CF"/>
    <w:rsid w:val="00D46F04"/>
    <w:rsid w:val="00D47BC9"/>
    <w:rsid w:val="00D6355F"/>
    <w:rsid w:val="00D63D85"/>
    <w:rsid w:val="00D642DD"/>
    <w:rsid w:val="00D73D64"/>
    <w:rsid w:val="00D80768"/>
    <w:rsid w:val="00D927A8"/>
    <w:rsid w:val="00DA20CE"/>
    <w:rsid w:val="00DA3C0F"/>
    <w:rsid w:val="00DA69D3"/>
    <w:rsid w:val="00DB26F5"/>
    <w:rsid w:val="00DB2DA9"/>
    <w:rsid w:val="00DB3B24"/>
    <w:rsid w:val="00DB6696"/>
    <w:rsid w:val="00DC2505"/>
    <w:rsid w:val="00DC372D"/>
    <w:rsid w:val="00DD00A4"/>
    <w:rsid w:val="00DE316E"/>
    <w:rsid w:val="00DE42F4"/>
    <w:rsid w:val="00DE580F"/>
    <w:rsid w:val="00DF1A85"/>
    <w:rsid w:val="00DF2CE5"/>
    <w:rsid w:val="00DF36DE"/>
    <w:rsid w:val="00E00599"/>
    <w:rsid w:val="00E00CAD"/>
    <w:rsid w:val="00E032A8"/>
    <w:rsid w:val="00E039E7"/>
    <w:rsid w:val="00E04FF5"/>
    <w:rsid w:val="00E1516F"/>
    <w:rsid w:val="00E158D1"/>
    <w:rsid w:val="00E241AA"/>
    <w:rsid w:val="00E24487"/>
    <w:rsid w:val="00E2486C"/>
    <w:rsid w:val="00E25207"/>
    <w:rsid w:val="00E26BFA"/>
    <w:rsid w:val="00E32430"/>
    <w:rsid w:val="00E32EDE"/>
    <w:rsid w:val="00E36F77"/>
    <w:rsid w:val="00E4222A"/>
    <w:rsid w:val="00E45326"/>
    <w:rsid w:val="00E46B8A"/>
    <w:rsid w:val="00E55C70"/>
    <w:rsid w:val="00E6006D"/>
    <w:rsid w:val="00E65269"/>
    <w:rsid w:val="00E65303"/>
    <w:rsid w:val="00E67DEC"/>
    <w:rsid w:val="00E72D4D"/>
    <w:rsid w:val="00E733D2"/>
    <w:rsid w:val="00E743D1"/>
    <w:rsid w:val="00E92156"/>
    <w:rsid w:val="00E92CEF"/>
    <w:rsid w:val="00E938F8"/>
    <w:rsid w:val="00E9398A"/>
    <w:rsid w:val="00E942AD"/>
    <w:rsid w:val="00E971E1"/>
    <w:rsid w:val="00EA0874"/>
    <w:rsid w:val="00EA28A5"/>
    <w:rsid w:val="00EA5C1C"/>
    <w:rsid w:val="00EA6DD8"/>
    <w:rsid w:val="00EB61AA"/>
    <w:rsid w:val="00EC2849"/>
    <w:rsid w:val="00EC4A72"/>
    <w:rsid w:val="00EC54D3"/>
    <w:rsid w:val="00ED4E42"/>
    <w:rsid w:val="00EF1CC6"/>
    <w:rsid w:val="00F01FA5"/>
    <w:rsid w:val="00F07D20"/>
    <w:rsid w:val="00F10C36"/>
    <w:rsid w:val="00F20CAC"/>
    <w:rsid w:val="00F242A9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4954"/>
    <w:rsid w:val="00F46018"/>
    <w:rsid w:val="00F4796E"/>
    <w:rsid w:val="00F5191F"/>
    <w:rsid w:val="00F54608"/>
    <w:rsid w:val="00F603AE"/>
    <w:rsid w:val="00F61EBD"/>
    <w:rsid w:val="00F628CB"/>
    <w:rsid w:val="00F657AE"/>
    <w:rsid w:val="00F80DC4"/>
    <w:rsid w:val="00F81E4A"/>
    <w:rsid w:val="00F8674C"/>
    <w:rsid w:val="00F92838"/>
    <w:rsid w:val="00F94B49"/>
    <w:rsid w:val="00FA23D1"/>
    <w:rsid w:val="00FA3E83"/>
    <w:rsid w:val="00FA7C30"/>
    <w:rsid w:val="00FB0569"/>
    <w:rsid w:val="00FB1CA5"/>
    <w:rsid w:val="00FB39E6"/>
    <w:rsid w:val="00FB776F"/>
    <w:rsid w:val="00FC2A05"/>
    <w:rsid w:val="00FC34B8"/>
    <w:rsid w:val="00FC4527"/>
    <w:rsid w:val="00FC6336"/>
    <w:rsid w:val="00FD12F2"/>
    <w:rsid w:val="00FD2FF2"/>
    <w:rsid w:val="00FD665B"/>
    <w:rsid w:val="00FD739E"/>
    <w:rsid w:val="00FE407E"/>
    <w:rsid w:val="00FE4E29"/>
    <w:rsid w:val="00FE5D47"/>
    <w:rsid w:val="00FF597D"/>
    <w:rsid w:val="00FF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37C64-CDDC-4BB9-957A-1BAC9179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1077</cp:revision>
  <cp:lastPrinted>2021-09-27T08:27:00Z</cp:lastPrinted>
  <dcterms:created xsi:type="dcterms:W3CDTF">2019-05-22T06:05:00Z</dcterms:created>
  <dcterms:modified xsi:type="dcterms:W3CDTF">2021-11-16T14:31:00Z</dcterms:modified>
</cp:coreProperties>
</file>