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1" w:rsidRDefault="00313DC1" w:rsidP="00405655">
      <w:pPr>
        <w:rPr>
          <w:color w:val="00000A"/>
          <w:lang w:val="uk-UA"/>
        </w:rPr>
      </w:pPr>
    </w:p>
    <w:p w:rsidR="00313DC1" w:rsidRPr="00313DC1" w:rsidRDefault="00313DC1" w:rsidP="009D13B2">
      <w:pPr>
        <w:ind w:left="3540" w:firstLine="708"/>
        <w:jc w:val="right"/>
        <w:rPr>
          <w:lang w:val="uk-UA"/>
        </w:rPr>
      </w:pPr>
      <w:r w:rsidRPr="00576EE7">
        <w:rPr>
          <w:lang w:val="uk-UA"/>
        </w:rPr>
        <w:t xml:space="preserve">Додаток  </w:t>
      </w:r>
      <w:r w:rsidR="00B470CF">
        <w:rPr>
          <w:lang w:val="uk-UA"/>
        </w:rPr>
        <w:t>№ 14</w:t>
      </w:r>
    </w:p>
    <w:p w:rsidR="00B47EC4" w:rsidRDefault="00576EE7" w:rsidP="009D13B2">
      <w:pPr>
        <w:jc w:val="right"/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387625">
        <w:rPr>
          <w:lang w:val="uk-UA"/>
        </w:rPr>
        <w:t xml:space="preserve">до рішення  </w:t>
      </w:r>
      <w:r w:rsidR="009D13B2">
        <w:rPr>
          <w:lang w:val="uk-UA"/>
        </w:rPr>
        <w:t>Ніжинської</w:t>
      </w:r>
      <w:r w:rsidRPr="00576EE7">
        <w:rPr>
          <w:lang w:val="uk-UA"/>
        </w:rPr>
        <w:t xml:space="preserve">  </w:t>
      </w:r>
      <w:r w:rsidR="00B470CF">
        <w:rPr>
          <w:lang w:val="uk-UA"/>
        </w:rPr>
        <w:t>міської ради</w:t>
      </w:r>
      <w:r w:rsidR="00313DC1" w:rsidRPr="00576EE7">
        <w:rPr>
          <w:lang w:val="uk-UA"/>
        </w:rPr>
        <w:t xml:space="preserve"> </w:t>
      </w:r>
    </w:p>
    <w:p w:rsidR="00313DC1" w:rsidRDefault="00313DC1" w:rsidP="009D13B2">
      <w:pPr>
        <w:pStyle w:val="a3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470CF">
        <w:rPr>
          <w:b w:val="0"/>
          <w:bCs w:val="0"/>
          <w:lang w:val="en-US"/>
        </w:rPr>
        <w:t>VIII</w:t>
      </w:r>
      <w:r w:rsidR="00B470CF" w:rsidRPr="000C5C39">
        <w:rPr>
          <w:b w:val="0"/>
          <w:bCs w:val="0"/>
          <w:lang w:val="ru-RU"/>
        </w:rPr>
        <w:t xml:space="preserve"> </w:t>
      </w:r>
      <w:r w:rsidR="00B470CF">
        <w:rPr>
          <w:b w:val="0"/>
          <w:bCs w:val="0"/>
        </w:rPr>
        <w:t xml:space="preserve">скликання </w:t>
      </w:r>
      <w:r w:rsidR="00387625">
        <w:rPr>
          <w:b w:val="0"/>
          <w:bCs w:val="0"/>
        </w:rPr>
        <w:t xml:space="preserve">від </w:t>
      </w:r>
      <w:r w:rsidR="009D13B2" w:rsidRPr="009D13B2">
        <w:rPr>
          <w:b w:val="0"/>
        </w:rPr>
        <w:t>24.12.2020  №</w:t>
      </w:r>
      <w:r w:rsidR="00DC1D11">
        <w:rPr>
          <w:b w:val="0"/>
        </w:rPr>
        <w:t>3-4</w:t>
      </w:r>
      <w:r w:rsidR="009D13B2" w:rsidRPr="009D13B2">
        <w:rPr>
          <w:b w:val="0"/>
        </w:rPr>
        <w:t>/2020</w:t>
      </w:r>
    </w:p>
    <w:p w:rsidR="00CD53AE" w:rsidRDefault="00CD53AE" w:rsidP="009D13B2">
      <w:pPr>
        <w:pStyle w:val="a3"/>
        <w:jc w:val="right"/>
        <w:rPr>
          <w:b w:val="0"/>
        </w:rPr>
      </w:pPr>
      <w:r>
        <w:rPr>
          <w:b w:val="0"/>
        </w:rPr>
        <w:t>Зі змінами, внесеними рішенням міської ради</w:t>
      </w:r>
    </w:p>
    <w:p w:rsidR="00CD53AE" w:rsidRPr="009D13B2" w:rsidRDefault="00CD53AE" w:rsidP="009D13B2">
      <w:pPr>
        <w:pStyle w:val="a3"/>
        <w:jc w:val="right"/>
        <w:rPr>
          <w:b w:val="0"/>
        </w:rPr>
      </w:pPr>
      <w:r>
        <w:rPr>
          <w:b w:val="0"/>
        </w:rPr>
        <w:t>№3-10/2021 від 03.06.2021</w:t>
      </w:r>
    </w:p>
    <w:p w:rsidR="009D13B2" w:rsidRDefault="009D13B2" w:rsidP="009D13B2">
      <w:pPr>
        <w:pStyle w:val="a3"/>
        <w:jc w:val="right"/>
        <w:rPr>
          <w:u w:val="single"/>
        </w:rPr>
      </w:pPr>
    </w:p>
    <w:p w:rsidR="008D6AB9" w:rsidRDefault="008D6AB9" w:rsidP="00405655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3A0D51">
        <w:rPr>
          <w:b/>
          <w:lang w:val="uk-UA"/>
        </w:rPr>
        <w:t xml:space="preserve">1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313DC1" w:rsidRDefault="008D6AB9" w:rsidP="00405655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3A0D51">
        <w:rPr>
          <w:b/>
          <w:lang w:val="uk-UA"/>
        </w:rPr>
        <w:t>1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4009"/>
        <w:gridCol w:w="4772"/>
      </w:tblGrid>
      <w:tr w:rsidR="00CD53AE" w:rsidRPr="003B02BB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Виконавчий  комітет  Ніжинської міської ради</w:t>
            </w:r>
          </w:p>
        </w:tc>
      </w:tr>
      <w:tr w:rsidR="00CD53AE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Законодавча база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Закон України про місцеве самоврядування в Україні</w:t>
            </w:r>
          </w:p>
        </w:tc>
      </w:tr>
      <w:tr w:rsidR="00CD53AE" w:rsidRPr="003B02BB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Відділ містобудування та архітектури виконавчого комітету Ніжинської міської ради</w:t>
            </w:r>
          </w:p>
        </w:tc>
      </w:tr>
      <w:tr w:rsidR="00CD53AE" w:rsidRPr="003B02BB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Виконавчий комітет Ніжинської міської ради</w:t>
            </w:r>
          </w:p>
        </w:tc>
      </w:tr>
      <w:tr w:rsidR="00CD53AE" w:rsidRPr="00313DC1" w:rsidTr="00C71F64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-</w:t>
            </w:r>
          </w:p>
        </w:tc>
      </w:tr>
      <w:tr w:rsidR="00CD53AE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2021 р.</w:t>
            </w:r>
          </w:p>
        </w:tc>
      </w:tr>
      <w:tr w:rsidR="00CD53AE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E" w:rsidRDefault="00CD53AE" w:rsidP="00C71F64">
            <w:pPr>
              <w:jc w:val="both"/>
            </w:pPr>
            <w:r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E" w:rsidRDefault="00CD53AE" w:rsidP="00C71F64">
            <w:r>
              <w:t>Етапи виконання Програми (для довгострокових Програм)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E" w:rsidRDefault="00CD53AE" w:rsidP="00C71F64">
            <w:r>
              <w:t>-</w:t>
            </w:r>
          </w:p>
        </w:tc>
      </w:tr>
      <w:tr w:rsidR="00CD53AE" w:rsidRPr="00BE0DF0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Загальний обсяг фінансових ресурсів, в т.ч. кредиторська заборгованість  минулих періодів, необхідних для реалізації Програми, всього,</w:t>
            </w:r>
          </w:p>
          <w:p w:rsidR="00CD53AE" w:rsidRDefault="00CD53AE" w:rsidP="00C71F64">
            <w: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749,0 тис.грн.</w:t>
            </w:r>
          </w:p>
        </w:tc>
      </w:tr>
      <w:tr w:rsidR="00CD53AE" w:rsidRPr="00BE0DF0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7.1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- коштів  бюджету Ніжинської міської об’єднаної  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749,0 тис.грн.</w:t>
            </w:r>
          </w:p>
        </w:tc>
      </w:tr>
      <w:tr w:rsidR="00CD53AE" w:rsidTr="00C71F6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pPr>
              <w:jc w:val="both"/>
            </w:pPr>
            <w:r>
              <w:t>7.2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3AE" w:rsidRDefault="00CD53AE" w:rsidP="00C71F64">
            <w:r>
              <w:t>-</w:t>
            </w:r>
          </w:p>
        </w:tc>
      </w:tr>
    </w:tbl>
    <w:p w:rsidR="003B50CB" w:rsidRDefault="008D6AB9" w:rsidP="0040565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:rsidR="003B50CB" w:rsidRDefault="003B50CB" w:rsidP="004056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населеного пункту детальний план уточнює положення генерального плану населеного пункту та визначає планувальну організацію і розвиток частини території. </w:t>
      </w:r>
    </w:p>
    <w:p w:rsidR="00B47EC4" w:rsidRPr="00B47EC4" w:rsidRDefault="00B47EC4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</w:t>
      </w:r>
      <w:r>
        <w:rPr>
          <w:rStyle w:val="1"/>
          <w:sz w:val="24"/>
          <w:szCs w:val="24"/>
        </w:rPr>
        <w:lastRenderedPageBreak/>
        <w:t>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:rsidR="003B50CB" w:rsidRDefault="003B50CB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E628C9">
        <w:rPr>
          <w:rStyle w:val="1"/>
          <w:sz w:val="24"/>
          <w:szCs w:val="24"/>
        </w:rPr>
        <w:t xml:space="preserve">. Для виконання даного рішення </w:t>
      </w:r>
      <w:r>
        <w:rPr>
          <w:rStyle w:val="1"/>
          <w:sz w:val="24"/>
          <w:szCs w:val="24"/>
        </w:rPr>
        <w:t xml:space="preserve"> </w:t>
      </w:r>
      <w:r w:rsidR="00E628C9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:rsidR="008D6AB9" w:rsidRPr="00E628C9" w:rsidRDefault="00E628C9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bCs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>
        <w:t>Ніжинської міської 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, </w:t>
      </w:r>
      <w:r w:rsidR="003B50CB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>
        <w:t>Ніжинської міської  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 w:rsidR="003B50CB">
        <w:rPr>
          <w:rStyle w:val="1"/>
          <w:sz w:val="24"/>
          <w:szCs w:val="24"/>
        </w:rPr>
        <w:t>є розробка містобудівної документації в повному обсязі.</w:t>
      </w:r>
    </w:p>
    <w:p w:rsidR="00405655" w:rsidRDefault="008D6AB9" w:rsidP="00405655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:rsidR="00B47EC4" w:rsidRDefault="008D6AB9" w:rsidP="00405655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ІІІ. Мета Програми</w:t>
      </w:r>
      <w:r w:rsidR="00866BD1">
        <w:rPr>
          <w:b/>
          <w:bCs/>
          <w:lang w:val="uk-UA"/>
        </w:rPr>
        <w:t>.</w:t>
      </w:r>
    </w:p>
    <w:p w:rsidR="000A172A" w:rsidRDefault="00B47EC4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>
        <w:rPr>
          <w:rStyle w:val="1"/>
          <w:sz w:val="24"/>
          <w:szCs w:val="24"/>
        </w:rPr>
        <w:t>.</w:t>
      </w:r>
    </w:p>
    <w:p w:rsidR="00FF0FE8" w:rsidRDefault="00FF0FE8" w:rsidP="00405655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Генеральний план населеного пункту в сучасному варіанті є стадією довгострокового стратегічного розвитку. Генеральним планом визначаються:</w:t>
      </w:r>
    </w:p>
    <w:p w:rsidR="00FF0FE8" w:rsidRDefault="00FF0FE8" w:rsidP="00405655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системи населеного пункту, інженерно- транспортної і соціальної інфраструктури.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виконання топогеодезичних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Детальним</w:t>
      </w:r>
      <w:r w:rsidR="00E628C9" w:rsidRPr="00E628C9">
        <w:rPr>
          <w:color w:val="000000"/>
          <w:lang w:val="uk-UA"/>
        </w:rPr>
        <w:t>и  планами</w:t>
      </w:r>
      <w:r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lastRenderedPageBreak/>
        <w:t>˗   функціональне призначення, режим та параметри забудови однієї чи декількох земельних ділянок, розподіл територій згідно з будівельними нормами, державними стандартами і правилами;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потребу в підприємствах і закладах обслуговування населення, місце їх розташування;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доцільність, обсяги, послідовність реконструкції забудови;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порядок організації транспортного і пішохідного руху;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порядок комплексного благоустрою та озеленення, потребу у формуванні еко</w:t>
      </w:r>
      <w:r w:rsidR="001E0E9C">
        <w:rPr>
          <w:color w:val="000000"/>
        </w:rPr>
        <w:t>мережі.</w:t>
      </w:r>
    </w:p>
    <w:p w:rsidR="00405655" w:rsidRDefault="00405655" w:rsidP="00405655">
      <w:pPr>
        <w:jc w:val="both"/>
        <w:rPr>
          <w:b/>
          <w:bCs/>
          <w:lang w:val="uk-UA"/>
        </w:rPr>
      </w:pPr>
    </w:p>
    <w:p w:rsidR="00374020" w:rsidRDefault="008D6AB9" w:rsidP="004056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:rsidR="008D6AB9" w:rsidRDefault="00AF756E" w:rsidP="00405655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>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</w:t>
      </w:r>
      <w:r w:rsidR="00E51930">
        <w:rPr>
          <w:lang w:val="uk-UA"/>
        </w:rPr>
        <w:t>і, розроблення схем розміщення малих архітектурних форм з благоустроїм території</w:t>
      </w:r>
      <w:r w:rsidR="00374020">
        <w:rPr>
          <w:lang w:val="uk-UA"/>
        </w:rPr>
        <w:t>;</w:t>
      </w:r>
    </w:p>
    <w:p w:rsidR="008D6AB9" w:rsidRDefault="008D6AB9" w:rsidP="00405655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C5381A" w:rsidP="00405655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FF0FE8">
        <w:rPr>
          <w:lang w:val="uk-UA"/>
        </w:rPr>
        <w:t>розроблення</w:t>
      </w:r>
      <w:r w:rsidR="008D6AB9">
        <w:rPr>
          <w:lang w:val="uk-UA"/>
        </w:rPr>
        <w:t xml:space="preserve"> детальних </w:t>
      </w:r>
      <w:r w:rsidR="00FF0FE8">
        <w:rPr>
          <w:lang w:val="uk-UA"/>
        </w:rPr>
        <w:t>планів забудови територій міста;</w:t>
      </w:r>
    </w:p>
    <w:p w:rsidR="00FF0FE8" w:rsidRDefault="00FF0FE8" w:rsidP="00405655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розроблення Генеральних планів с. Переяслівка, с. Паливода, с. Наумівське </w:t>
      </w:r>
      <w:r>
        <w:rPr>
          <w:rStyle w:val="1"/>
          <w:sz w:val="24"/>
          <w:szCs w:val="24"/>
        </w:rPr>
        <w:t>Ніжинської району Чернігівської області</w:t>
      </w:r>
      <w:r w:rsidR="004759A7">
        <w:rPr>
          <w:lang w:val="uk-UA"/>
        </w:rPr>
        <w:t>;</w:t>
      </w:r>
    </w:p>
    <w:p w:rsidR="004759A7" w:rsidRDefault="004759A7" w:rsidP="00405655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розроблення цифрового векторного топографічного плану М 1:2000 на територію с. Переяслівка Ніжинського району Чернігівської області. </w:t>
      </w:r>
    </w:p>
    <w:p w:rsidR="008D6AB9" w:rsidRDefault="008D6AB9" w:rsidP="00405655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міської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506CAA">
        <w:rPr>
          <w:lang w:val="uk-UA"/>
        </w:rPr>
        <w:t>1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405655" w:rsidRDefault="00405655" w:rsidP="00405655">
      <w:pPr>
        <w:jc w:val="both"/>
        <w:rPr>
          <w:b/>
          <w:lang w:val="uk-UA"/>
        </w:rPr>
      </w:pPr>
    </w:p>
    <w:p w:rsidR="002220A6" w:rsidRDefault="006E54F0" w:rsidP="00405655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:rsidR="006E54F0" w:rsidRDefault="004F4616" w:rsidP="00405655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FF0FE8" w:rsidRPr="00FF0FE8" w:rsidRDefault="00FF0FE8" w:rsidP="00405655">
      <w:pPr>
        <w:pStyle w:val="a6"/>
        <w:numPr>
          <w:ilvl w:val="0"/>
          <w:numId w:val="2"/>
        </w:numPr>
        <w:jc w:val="both"/>
      </w:pPr>
      <w:r>
        <w:rPr>
          <w:rStyle w:val="1"/>
          <w:sz w:val="24"/>
          <w:szCs w:val="24"/>
        </w:rPr>
        <w:t xml:space="preserve">Генеральні плани </w:t>
      </w:r>
      <w:r>
        <w:t>с. Переяслівка, с. Паливода, с. Наумівське</w:t>
      </w:r>
      <w:r>
        <w:rPr>
          <w:rStyle w:val="1"/>
          <w:sz w:val="24"/>
          <w:szCs w:val="24"/>
        </w:rPr>
        <w:t xml:space="preserve"> Ніжинської району Чернігівської області </w:t>
      </w:r>
      <w:r w:rsidRPr="009E3DFD">
        <w:rPr>
          <w:rStyle w:val="1"/>
          <w:sz w:val="24"/>
          <w:szCs w:val="24"/>
        </w:rPr>
        <w:t>–</w:t>
      </w:r>
      <w:r w:rsidR="006B438C">
        <w:rPr>
          <w:rStyle w:val="1"/>
          <w:sz w:val="24"/>
          <w:szCs w:val="24"/>
        </w:rPr>
        <w:t xml:space="preserve"> 453</w:t>
      </w:r>
      <w:r w:rsidRPr="009E3DFD">
        <w:rPr>
          <w:rStyle w:val="1"/>
          <w:sz w:val="24"/>
          <w:szCs w:val="24"/>
        </w:rPr>
        <w:t xml:space="preserve">,0 </w:t>
      </w:r>
      <w:r>
        <w:t>тис.грн.;</w:t>
      </w:r>
    </w:p>
    <w:p w:rsidR="00F005F8" w:rsidRDefault="004F4616" w:rsidP="00405655">
      <w:pPr>
        <w:pStyle w:val="a6"/>
        <w:numPr>
          <w:ilvl w:val="0"/>
          <w:numId w:val="2"/>
        </w:numPr>
        <w:jc w:val="both"/>
      </w:pPr>
      <w:r>
        <w:t>проекти детального планування розвитку територій міста –</w:t>
      </w:r>
      <w:r w:rsidR="00085E2C">
        <w:t xml:space="preserve"> 120</w:t>
      </w:r>
      <w:r w:rsidR="00506CAA">
        <w:t>,0 тис.грн.;</w:t>
      </w:r>
    </w:p>
    <w:p w:rsidR="00506CAA" w:rsidRDefault="00F005F8" w:rsidP="00405655">
      <w:pPr>
        <w:pStyle w:val="a6"/>
        <w:numPr>
          <w:ilvl w:val="0"/>
          <w:numId w:val="2"/>
        </w:numPr>
        <w:jc w:val="both"/>
      </w:pPr>
      <w:r>
        <w:t xml:space="preserve">розроблення схем та пректних рішень масового застосування </w:t>
      </w:r>
      <w:r w:rsidR="00506CAA">
        <w:t>–</w:t>
      </w:r>
      <w:r>
        <w:t xml:space="preserve"> 80</w:t>
      </w:r>
      <w:r w:rsidR="006B438C">
        <w:t>,0 тис.грн;</w:t>
      </w:r>
    </w:p>
    <w:p w:rsidR="006B438C" w:rsidRDefault="006B438C" w:rsidP="00405655">
      <w:pPr>
        <w:pStyle w:val="a6"/>
        <w:numPr>
          <w:ilvl w:val="0"/>
          <w:numId w:val="2"/>
        </w:numPr>
        <w:jc w:val="both"/>
      </w:pPr>
      <w:r>
        <w:t>розроблення цифрового векторного топографічного плану М 1:2000 на територію     с. Переяслівка Ніжинського району Чернігівської області – 47,0 тис.грн.</w:t>
      </w:r>
    </w:p>
    <w:p w:rsidR="00C5381A" w:rsidRDefault="007C3676" w:rsidP="00405655">
      <w:pPr>
        <w:jc w:val="both"/>
      </w:pPr>
      <w:r w:rsidRPr="001E0E9C">
        <w:rPr>
          <w:lang w:val="uk-UA"/>
        </w:rPr>
        <w:t xml:space="preserve"> </w:t>
      </w:r>
      <w:r w:rsidR="00C5381A">
        <w:t>Показники продукту:</w:t>
      </w:r>
    </w:p>
    <w:p w:rsidR="00085E2C" w:rsidRPr="00085E2C" w:rsidRDefault="00085E2C" w:rsidP="00405655">
      <w:pPr>
        <w:pStyle w:val="a6"/>
        <w:numPr>
          <w:ilvl w:val="0"/>
          <w:numId w:val="1"/>
        </w:numPr>
        <w:jc w:val="both"/>
      </w:pPr>
      <w:r>
        <w:rPr>
          <w:rStyle w:val="1"/>
          <w:sz w:val="24"/>
          <w:szCs w:val="24"/>
        </w:rPr>
        <w:t xml:space="preserve">Генеральні плани </w:t>
      </w:r>
      <w:r>
        <w:t>с. Переяслівка, с. Паливода, с. Наумівське</w:t>
      </w:r>
      <w:r>
        <w:rPr>
          <w:rStyle w:val="1"/>
          <w:sz w:val="24"/>
          <w:szCs w:val="24"/>
        </w:rPr>
        <w:t xml:space="preserve"> Ніжинської району Чернігівської області – </w:t>
      </w:r>
      <w:r w:rsidR="00F005F8">
        <w:t xml:space="preserve">кількість </w:t>
      </w:r>
      <w:r>
        <w:rPr>
          <w:rStyle w:val="1"/>
          <w:sz w:val="24"/>
          <w:szCs w:val="24"/>
        </w:rPr>
        <w:t>3 одиниці;</w:t>
      </w:r>
    </w:p>
    <w:p w:rsidR="004F4616" w:rsidRDefault="004F4616" w:rsidP="00405655">
      <w:pPr>
        <w:pStyle w:val="a6"/>
        <w:numPr>
          <w:ilvl w:val="0"/>
          <w:numId w:val="1"/>
        </w:numPr>
        <w:jc w:val="both"/>
      </w:pPr>
      <w:r>
        <w:t xml:space="preserve">проекти детального планування розвитку територій міста – кількість </w:t>
      </w:r>
      <w:r w:rsidR="00085E2C">
        <w:t>2</w:t>
      </w:r>
      <w:r>
        <w:t xml:space="preserve"> одиниці;</w:t>
      </w:r>
    </w:p>
    <w:p w:rsidR="00506CAA" w:rsidRDefault="00F005F8" w:rsidP="00405655">
      <w:pPr>
        <w:pStyle w:val="a6"/>
        <w:numPr>
          <w:ilvl w:val="0"/>
          <w:numId w:val="1"/>
        </w:numPr>
        <w:ind w:right="84"/>
        <w:jc w:val="both"/>
        <w:outlineLvl w:val="0"/>
      </w:pPr>
      <w:r>
        <w:t xml:space="preserve">розроблення схем та пректних рішень масового застосування </w:t>
      </w:r>
      <w:r w:rsidR="001E0E9C">
        <w:t xml:space="preserve">- </w:t>
      </w:r>
      <w:r>
        <w:t>кількість 8 одиниць</w:t>
      </w:r>
      <w:r w:rsidR="00506CAA">
        <w:t>;</w:t>
      </w:r>
    </w:p>
    <w:p w:rsidR="006B438C" w:rsidRDefault="006B438C" w:rsidP="00405655">
      <w:pPr>
        <w:pStyle w:val="a6"/>
        <w:numPr>
          <w:ilvl w:val="0"/>
          <w:numId w:val="1"/>
        </w:numPr>
        <w:ind w:right="84"/>
        <w:jc w:val="both"/>
        <w:outlineLvl w:val="0"/>
      </w:pPr>
      <w:r>
        <w:t>розроблення цифрового векторного топографічного плану М 1:2000 на територію     с. Переяслівка Ніжинського району Чернігівської області – 1 одиниця.</w:t>
      </w:r>
    </w:p>
    <w:p w:rsidR="00C5381A" w:rsidRDefault="00C5381A" w:rsidP="00405655">
      <w:pPr>
        <w:jc w:val="both"/>
      </w:pPr>
      <w:r>
        <w:t>Показники ефективності:</w:t>
      </w:r>
    </w:p>
    <w:p w:rsidR="00085E2C" w:rsidRPr="00085E2C" w:rsidRDefault="00085E2C" w:rsidP="00405655">
      <w:pPr>
        <w:pStyle w:val="a6"/>
        <w:numPr>
          <w:ilvl w:val="0"/>
          <w:numId w:val="1"/>
        </w:numPr>
        <w:jc w:val="both"/>
      </w:pPr>
      <w:r>
        <w:t>середні витрати на виготовлення 1 одиниці</w:t>
      </w:r>
      <w:r>
        <w:rPr>
          <w:rStyle w:val="1"/>
          <w:sz w:val="24"/>
          <w:szCs w:val="24"/>
        </w:rPr>
        <w:t xml:space="preserve"> Генерального плану </w:t>
      </w:r>
      <w:r>
        <w:t>– 1</w:t>
      </w:r>
      <w:r w:rsidR="006B438C">
        <w:t>51</w:t>
      </w:r>
      <w:r>
        <w:t>,0 тис. грн.;</w:t>
      </w:r>
    </w:p>
    <w:p w:rsidR="00C5381A" w:rsidRDefault="00C5381A" w:rsidP="00405655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193BC4">
        <w:t>-</w:t>
      </w:r>
      <w:r w:rsidR="00AF303A">
        <w:t xml:space="preserve"> </w:t>
      </w:r>
      <w:r w:rsidR="00506CAA">
        <w:t xml:space="preserve">60,0 </w:t>
      </w:r>
      <w:r w:rsidR="00AF303A">
        <w:t>тис.</w:t>
      </w:r>
      <w:r w:rsidR="007C3676">
        <w:t>грн</w:t>
      </w:r>
      <w:r w:rsidR="00AF303A">
        <w:t>.;</w:t>
      </w:r>
    </w:p>
    <w:p w:rsidR="00506CAA" w:rsidRDefault="00C02919" w:rsidP="00405655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</w:t>
      </w:r>
      <w:r w:rsidR="007C3676">
        <w:t xml:space="preserve"> </w:t>
      </w:r>
      <w:r w:rsidR="00193BC4">
        <w:t xml:space="preserve">розроблення схем та пректних рішень масового застосування  приблизно- </w:t>
      </w:r>
      <w:r w:rsidR="00506CAA">
        <w:t>10,0 тис.грн.;</w:t>
      </w:r>
    </w:p>
    <w:p w:rsidR="006B438C" w:rsidRDefault="006B438C" w:rsidP="00405655">
      <w:pPr>
        <w:pStyle w:val="a6"/>
        <w:numPr>
          <w:ilvl w:val="0"/>
          <w:numId w:val="2"/>
        </w:numPr>
        <w:jc w:val="both"/>
      </w:pPr>
      <w:r>
        <w:t>середні витрати на виготовлення цифрового векторного топографічного плану            М 1:2000  – 47,0 тис.грн.</w:t>
      </w:r>
    </w:p>
    <w:p w:rsidR="00C5381A" w:rsidRPr="008E4EEC" w:rsidRDefault="00C5381A" w:rsidP="00405655">
      <w:pPr>
        <w:jc w:val="both"/>
        <w:rPr>
          <w:lang w:val="uk-UA"/>
        </w:rPr>
      </w:pPr>
      <w:r w:rsidRPr="008E4EEC">
        <w:rPr>
          <w:lang w:val="uk-UA"/>
        </w:rPr>
        <w:t>Показники якості:</w:t>
      </w:r>
    </w:p>
    <w:p w:rsidR="00893439" w:rsidRDefault="00C5381A" w:rsidP="00405655">
      <w:pPr>
        <w:ind w:left="708" w:right="84"/>
        <w:jc w:val="both"/>
        <w:outlineLvl w:val="0"/>
        <w:rPr>
          <w:lang w:val="uk-UA"/>
        </w:rPr>
      </w:pPr>
      <w:r w:rsidRPr="00387625">
        <w:rPr>
          <w:lang w:val="uk-UA"/>
        </w:rPr>
        <w:t>100% завершення</w:t>
      </w:r>
      <w:r w:rsidR="008E4EEC">
        <w:rPr>
          <w:lang w:val="uk-UA"/>
        </w:rPr>
        <w:t xml:space="preserve"> </w:t>
      </w:r>
      <w:r w:rsidRPr="00387625">
        <w:rPr>
          <w:lang w:val="uk-UA"/>
        </w:rPr>
        <w:t>виготовлення</w:t>
      </w:r>
      <w:r w:rsidR="008E4EEC">
        <w:rPr>
          <w:lang w:val="uk-UA"/>
        </w:rPr>
        <w:t xml:space="preserve"> </w:t>
      </w:r>
      <w:r w:rsidR="00085E2C">
        <w:rPr>
          <w:lang w:val="uk-UA"/>
        </w:rPr>
        <w:t xml:space="preserve">Генеральних планів, </w:t>
      </w:r>
      <w:r w:rsidR="00893439" w:rsidRPr="00387625">
        <w:rPr>
          <w:lang w:val="uk-UA"/>
        </w:rPr>
        <w:t>проек</w:t>
      </w:r>
      <w:r w:rsidR="008E4EEC">
        <w:rPr>
          <w:lang w:val="uk-UA"/>
        </w:rPr>
        <w:t>т</w:t>
      </w:r>
      <w:r w:rsidR="00893439">
        <w:rPr>
          <w:lang w:val="uk-UA"/>
        </w:rPr>
        <w:t>ів детального планування розвитку територій</w:t>
      </w:r>
      <w:r w:rsidR="00AF303A">
        <w:rPr>
          <w:lang w:val="uk-UA"/>
        </w:rPr>
        <w:t xml:space="preserve"> Ніжинської міської об’єднаної територіальної </w:t>
      </w:r>
      <w:r w:rsidR="00AF303A">
        <w:rPr>
          <w:lang w:val="uk-UA"/>
        </w:rPr>
        <w:lastRenderedPageBreak/>
        <w:t>громади</w:t>
      </w:r>
      <w:r w:rsidR="008E4EEC">
        <w:rPr>
          <w:lang w:val="uk-UA"/>
        </w:rPr>
        <w:t xml:space="preserve">, схем розміщення тимчасових споруд для впровадження підприємницької діяльності, </w:t>
      </w:r>
      <w:r w:rsidR="008E4EEC" w:rsidRPr="008E4EEC">
        <w:rPr>
          <w:lang w:val="uk-UA"/>
        </w:rPr>
        <w:t>розрахункових</w:t>
      </w:r>
      <w:r w:rsidR="008E4EEC" w:rsidRPr="00506CAA">
        <w:rPr>
          <w:lang w:val="uk-UA"/>
        </w:rPr>
        <w:t xml:space="preserve"> схем розміщення кварталів індивідуальної забудови</w:t>
      </w:r>
      <w:r w:rsidR="006B438C">
        <w:rPr>
          <w:lang w:val="uk-UA"/>
        </w:rPr>
        <w:t>, цифрового векторного топографічного плану  М 1:2000</w:t>
      </w:r>
      <w:r w:rsidR="008E4EEC">
        <w:rPr>
          <w:lang w:val="uk-UA"/>
        </w:rPr>
        <w:t xml:space="preserve"> </w:t>
      </w:r>
      <w:r w:rsidR="00893439">
        <w:rPr>
          <w:lang w:val="uk-UA"/>
        </w:rPr>
        <w:t>.</w:t>
      </w:r>
    </w:p>
    <w:p w:rsidR="00405655" w:rsidRDefault="00405655" w:rsidP="00405655">
      <w:pPr>
        <w:jc w:val="both"/>
        <w:rPr>
          <w:b/>
          <w:lang w:val="uk-UA"/>
        </w:rPr>
      </w:pPr>
    </w:p>
    <w:p w:rsidR="000C5C39" w:rsidRDefault="000C5C39" w:rsidP="00405655">
      <w:pPr>
        <w:jc w:val="both"/>
        <w:rPr>
          <w:b/>
          <w:lang w:val="uk-UA"/>
        </w:rPr>
      </w:pPr>
      <w:r>
        <w:rPr>
          <w:b/>
          <w:lang w:val="uk-UA"/>
        </w:rPr>
        <w:t>VІ. Напрями діяльності, перелік завдань і заходів Програми та результативні показники виконання Програми.</w:t>
      </w:r>
    </w:p>
    <w:p w:rsidR="000C5C39" w:rsidRDefault="000C5C39" w:rsidP="00405655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:rsidR="000C5C39" w:rsidRDefault="000C5C39" w:rsidP="00405655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 звітує про виконання заходів Програми</w:t>
      </w:r>
      <w:r w:rsidRPr="00104077">
        <w:rPr>
          <w:lang w:val="uk-UA"/>
        </w:rPr>
        <w:t xml:space="preserve"> </w:t>
      </w:r>
      <w:r>
        <w:rPr>
          <w:lang w:val="uk-UA"/>
        </w:rPr>
        <w:t>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:rsidR="00A125C8" w:rsidRDefault="00A125C8" w:rsidP="00405655">
      <w:pPr>
        <w:jc w:val="both"/>
        <w:rPr>
          <w:lang w:val="uk-UA"/>
        </w:rPr>
      </w:pPr>
    </w:p>
    <w:p w:rsidR="008D6AB9" w:rsidRDefault="008D6AB9" w:rsidP="00405655">
      <w:pPr>
        <w:jc w:val="both"/>
        <w:rPr>
          <w:lang w:val="uk-UA"/>
        </w:rPr>
      </w:pPr>
    </w:p>
    <w:p w:rsidR="008D6AB9" w:rsidRDefault="008D6AB9" w:rsidP="00405655">
      <w:pPr>
        <w:ind w:firstLine="720"/>
        <w:jc w:val="both"/>
        <w:rPr>
          <w:lang w:val="uk-UA"/>
        </w:rPr>
      </w:pPr>
    </w:p>
    <w:p w:rsidR="00E43C97" w:rsidRDefault="000C5C39" w:rsidP="00405655">
      <w:pPr>
        <w:rPr>
          <w:lang w:val="uk-UA"/>
        </w:rPr>
      </w:pPr>
      <w:r>
        <w:rPr>
          <w:lang w:val="uk-UA"/>
        </w:rPr>
        <w:t xml:space="preserve">              </w:t>
      </w:r>
      <w:r w:rsidR="008D6AB9">
        <w:rPr>
          <w:lang w:val="uk-UA"/>
        </w:rPr>
        <w:t>Міський голова</w:t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  <w:t xml:space="preserve">   </w:t>
      </w:r>
      <w:r>
        <w:rPr>
          <w:lang w:val="uk-UA"/>
        </w:rPr>
        <w:t>Олександр</w:t>
      </w:r>
      <w:r w:rsidR="006B438C">
        <w:rPr>
          <w:lang w:val="uk-UA"/>
        </w:rPr>
        <w:t xml:space="preserve"> Кодола</w:t>
      </w: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  <w:bookmarkStart w:id="0" w:name="_GoBack"/>
      <w:bookmarkEnd w:id="0"/>
    </w:p>
    <w:sectPr w:rsidR="00866BD1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56E6"/>
    <w:rsid w:val="00036D1A"/>
    <w:rsid w:val="00052A58"/>
    <w:rsid w:val="000621F0"/>
    <w:rsid w:val="00085E2C"/>
    <w:rsid w:val="000A172A"/>
    <w:rsid w:val="000C5C39"/>
    <w:rsid w:val="00104077"/>
    <w:rsid w:val="00117FC7"/>
    <w:rsid w:val="001212A4"/>
    <w:rsid w:val="001566AF"/>
    <w:rsid w:val="00193BC4"/>
    <w:rsid w:val="001A6979"/>
    <w:rsid w:val="001E0E9C"/>
    <w:rsid w:val="002220A6"/>
    <w:rsid w:val="00267E30"/>
    <w:rsid w:val="002C56E6"/>
    <w:rsid w:val="00313DC1"/>
    <w:rsid w:val="00334635"/>
    <w:rsid w:val="00374020"/>
    <w:rsid w:val="00383BEB"/>
    <w:rsid w:val="00387625"/>
    <w:rsid w:val="003A0D51"/>
    <w:rsid w:val="003B50CB"/>
    <w:rsid w:val="00405655"/>
    <w:rsid w:val="004245CF"/>
    <w:rsid w:val="004401B2"/>
    <w:rsid w:val="004759A7"/>
    <w:rsid w:val="004F4616"/>
    <w:rsid w:val="00506CAA"/>
    <w:rsid w:val="00576EE7"/>
    <w:rsid w:val="005D5176"/>
    <w:rsid w:val="006052F8"/>
    <w:rsid w:val="006B438C"/>
    <w:rsid w:val="006E54F0"/>
    <w:rsid w:val="00772F6F"/>
    <w:rsid w:val="00776A25"/>
    <w:rsid w:val="007C3676"/>
    <w:rsid w:val="00863654"/>
    <w:rsid w:val="00866BD1"/>
    <w:rsid w:val="00893439"/>
    <w:rsid w:val="008D6AB9"/>
    <w:rsid w:val="008E4EEC"/>
    <w:rsid w:val="008F43DB"/>
    <w:rsid w:val="0095563F"/>
    <w:rsid w:val="009B5CA2"/>
    <w:rsid w:val="009D13B2"/>
    <w:rsid w:val="009E3DFD"/>
    <w:rsid w:val="00A125C8"/>
    <w:rsid w:val="00A27AC2"/>
    <w:rsid w:val="00AF303A"/>
    <w:rsid w:val="00AF756E"/>
    <w:rsid w:val="00B470CF"/>
    <w:rsid w:val="00B47EC4"/>
    <w:rsid w:val="00B51EDD"/>
    <w:rsid w:val="00BE0DF0"/>
    <w:rsid w:val="00BF3FCE"/>
    <w:rsid w:val="00C02919"/>
    <w:rsid w:val="00C5381A"/>
    <w:rsid w:val="00CA7E93"/>
    <w:rsid w:val="00CD53AE"/>
    <w:rsid w:val="00D01500"/>
    <w:rsid w:val="00D13949"/>
    <w:rsid w:val="00DB43E5"/>
    <w:rsid w:val="00DC1D11"/>
    <w:rsid w:val="00E43C97"/>
    <w:rsid w:val="00E51930"/>
    <w:rsid w:val="00E628C9"/>
    <w:rsid w:val="00EA0990"/>
    <w:rsid w:val="00ED13CB"/>
    <w:rsid w:val="00F005F8"/>
    <w:rsid w:val="00F31039"/>
    <w:rsid w:val="00F9295E"/>
    <w:rsid w:val="00FC0BFA"/>
    <w:rsid w:val="00FC758F"/>
    <w:rsid w:val="00F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Finvid12</cp:lastModifiedBy>
  <cp:revision>7</cp:revision>
  <cp:lastPrinted>2021-06-09T11:52:00Z</cp:lastPrinted>
  <dcterms:created xsi:type="dcterms:W3CDTF">2020-12-02T07:43:00Z</dcterms:created>
  <dcterms:modified xsi:type="dcterms:W3CDTF">2021-06-09T11:54:00Z</dcterms:modified>
</cp:coreProperties>
</file>