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54" w:rsidRPr="007F6D3D" w:rsidRDefault="004C3C54" w:rsidP="004C3C54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54" w:rsidRPr="00B47830" w:rsidRDefault="004C3C54" w:rsidP="004C3C54">
      <w:pPr>
        <w:jc w:val="center"/>
        <w:rPr>
          <w:rFonts w:ascii="Calibri" w:hAnsi="Calibri"/>
          <w:sz w:val="20"/>
        </w:rPr>
      </w:pPr>
    </w:p>
    <w:p w:rsidR="004C3C54" w:rsidRPr="000E1135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4C3C54" w:rsidRDefault="004C3C54" w:rsidP="004C3C54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4C3C54" w:rsidRDefault="004C3C54" w:rsidP="004C3C54">
      <w:pPr>
        <w:jc w:val="center"/>
        <w:rPr>
          <w:sz w:val="6"/>
          <w:szCs w:val="6"/>
        </w:rPr>
      </w:pPr>
    </w:p>
    <w:p w:rsidR="004C3C54" w:rsidRPr="008909DA" w:rsidRDefault="004C3C54" w:rsidP="004C3C54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C3C54" w:rsidRPr="007F6D3D" w:rsidRDefault="00A07DB2" w:rsidP="004C3C54">
      <w:pPr>
        <w:jc w:val="center"/>
        <w:rPr>
          <w:sz w:val="32"/>
          <w:lang w:val="ru-RU"/>
        </w:rPr>
      </w:pPr>
      <w:r w:rsidRPr="00A07DB2">
        <w:rPr>
          <w:sz w:val="32"/>
          <w:u w:val="single"/>
        </w:rPr>
        <w:t>9</w:t>
      </w:r>
      <w:r w:rsidR="004C3C54">
        <w:rPr>
          <w:sz w:val="32"/>
        </w:rPr>
        <w:t xml:space="preserve"> сесія</w:t>
      </w:r>
      <w:r w:rsidR="004C3C54">
        <w:rPr>
          <w:sz w:val="32"/>
          <w:lang w:val="ru-RU"/>
        </w:rPr>
        <w:t xml:space="preserve"> </w:t>
      </w:r>
      <w:r w:rsidR="004C3C54">
        <w:rPr>
          <w:sz w:val="32"/>
          <w:lang w:val="en-US"/>
        </w:rPr>
        <w:t>VI</w:t>
      </w:r>
      <w:r w:rsidR="004C3C54">
        <w:rPr>
          <w:sz w:val="32"/>
        </w:rPr>
        <w:t>І</w:t>
      </w:r>
      <w:r w:rsidR="004C3C54">
        <w:rPr>
          <w:sz w:val="32"/>
          <w:lang w:val="en-US"/>
        </w:rPr>
        <w:t>I</w:t>
      </w:r>
      <w:r w:rsidR="004C3C54">
        <w:rPr>
          <w:sz w:val="32"/>
          <w:lang w:val="ru-RU"/>
        </w:rPr>
        <w:t xml:space="preserve"> </w:t>
      </w:r>
      <w:r w:rsidR="004C3C54">
        <w:rPr>
          <w:sz w:val="32"/>
        </w:rPr>
        <w:t>скликання</w:t>
      </w:r>
    </w:p>
    <w:p w:rsidR="004C3C54" w:rsidRPr="007F6D3D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Default="004C3C54" w:rsidP="004C3C5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C3C54" w:rsidRPr="007F6D3D" w:rsidRDefault="004C3C54" w:rsidP="004C3C54">
      <w:pPr>
        <w:jc w:val="center"/>
        <w:rPr>
          <w:b/>
          <w:sz w:val="28"/>
          <w:szCs w:val="28"/>
          <w:lang w:val="ru-RU"/>
        </w:rPr>
      </w:pPr>
    </w:p>
    <w:p w:rsidR="004C3C54" w:rsidRPr="004C3C54" w:rsidRDefault="004C3C54" w:rsidP="004C3C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A07DB2">
        <w:rPr>
          <w:sz w:val="28"/>
          <w:szCs w:val="28"/>
        </w:rPr>
        <w:t xml:space="preserve"> </w:t>
      </w:r>
      <w:r w:rsidR="00A07DB2" w:rsidRPr="00647FE0">
        <w:rPr>
          <w:sz w:val="28"/>
          <w:szCs w:val="28"/>
          <w:u w:val="single"/>
        </w:rPr>
        <w:t>22 квітня 2021</w:t>
      </w:r>
      <w:r w:rsidRPr="00647FE0">
        <w:rPr>
          <w:sz w:val="28"/>
          <w:szCs w:val="28"/>
          <w:u w:val="single"/>
        </w:rPr>
        <w:t xml:space="preserve"> р.</w:t>
      </w:r>
      <w:r w:rsidRPr="004C3C54">
        <w:rPr>
          <w:sz w:val="28"/>
          <w:szCs w:val="28"/>
          <w:lang w:val="ru-RU"/>
        </w:rPr>
        <w:tab/>
      </w:r>
      <w:r w:rsidRPr="004C3C54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4C3C54">
        <w:rPr>
          <w:sz w:val="28"/>
          <w:szCs w:val="28"/>
          <w:lang w:val="ru-RU"/>
        </w:rPr>
        <w:tab/>
        <w:t xml:space="preserve">                           </w:t>
      </w:r>
      <w:r>
        <w:rPr>
          <w:sz w:val="28"/>
          <w:szCs w:val="28"/>
          <w:lang w:val="ru-RU"/>
        </w:rPr>
        <w:t xml:space="preserve">    </w:t>
      </w:r>
      <w:r w:rsidRPr="004C3C54">
        <w:rPr>
          <w:sz w:val="28"/>
          <w:szCs w:val="28"/>
          <w:lang w:val="ru-RU"/>
        </w:rPr>
        <w:t xml:space="preserve">  № </w:t>
      </w:r>
      <w:r w:rsidR="00A07DB2" w:rsidRPr="00647FE0">
        <w:rPr>
          <w:sz w:val="28"/>
          <w:szCs w:val="28"/>
          <w:u w:val="single"/>
          <w:lang w:val="ru-RU"/>
        </w:rPr>
        <w:t>10-9/2021</w:t>
      </w:r>
    </w:p>
    <w:p w:rsidR="004C3C54" w:rsidRDefault="004C3C54" w:rsidP="004C3C54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4C3C54" w:rsidRPr="004C3C54" w:rsidRDefault="004C3C54" w:rsidP="004C3C54">
      <w:pPr>
        <w:jc w:val="center"/>
        <w:rPr>
          <w:sz w:val="28"/>
          <w:szCs w:val="28"/>
          <w:lang w:val="ru-RU"/>
        </w:rPr>
      </w:pPr>
    </w:p>
    <w:p w:rsidR="004C3C54" w:rsidRPr="004C3C54" w:rsidRDefault="004C3C54" w:rsidP="004C3C54">
      <w:pPr>
        <w:ind w:right="4963"/>
        <w:jc w:val="both"/>
        <w:rPr>
          <w:b/>
          <w:sz w:val="28"/>
          <w:szCs w:val="28"/>
        </w:rPr>
      </w:pPr>
      <w:r w:rsidRPr="004C3C54">
        <w:rPr>
          <w:b/>
          <w:sz w:val="28"/>
          <w:szCs w:val="28"/>
        </w:rPr>
        <w:t xml:space="preserve">Про внесення змін </w:t>
      </w:r>
      <w:r>
        <w:rPr>
          <w:b/>
          <w:sz w:val="28"/>
          <w:szCs w:val="28"/>
        </w:rPr>
        <w:t xml:space="preserve">до </w:t>
      </w:r>
      <w:r w:rsidR="000B0114">
        <w:rPr>
          <w:b/>
          <w:sz w:val="28"/>
          <w:szCs w:val="28"/>
        </w:rPr>
        <w:t>додатку 20 «М</w:t>
      </w:r>
      <w:r w:rsidR="000B0114" w:rsidRPr="004C3C54">
        <w:rPr>
          <w:b/>
          <w:sz w:val="28"/>
          <w:szCs w:val="28"/>
        </w:rPr>
        <w:t>іськ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</w:t>
      </w:r>
      <w:r w:rsidR="000B0114">
        <w:rPr>
          <w:b/>
          <w:sz w:val="28"/>
          <w:szCs w:val="28"/>
        </w:rPr>
        <w:t>п</w:t>
      </w:r>
      <w:r w:rsidR="000B0114" w:rsidRPr="004C3C54">
        <w:rPr>
          <w:b/>
          <w:sz w:val="28"/>
          <w:szCs w:val="28"/>
        </w:rPr>
        <w:t>рограм</w:t>
      </w:r>
      <w:r w:rsidR="000B0114">
        <w:rPr>
          <w:b/>
          <w:sz w:val="28"/>
          <w:szCs w:val="28"/>
        </w:rPr>
        <w:t>а</w:t>
      </w:r>
      <w:r w:rsidR="000B0114" w:rsidRPr="004C3C54">
        <w:rPr>
          <w:b/>
          <w:sz w:val="28"/>
          <w:szCs w:val="28"/>
        </w:rPr>
        <w:t xml:space="preserve">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b/>
          <w:sz w:val="28"/>
          <w:szCs w:val="28"/>
        </w:rPr>
        <w:t>»</w:t>
      </w:r>
      <w:r w:rsidR="006E04B5">
        <w:rPr>
          <w:b/>
          <w:sz w:val="28"/>
          <w:szCs w:val="28"/>
        </w:rPr>
        <w:t xml:space="preserve">, затвердженого </w:t>
      </w:r>
      <w:r w:rsidR="000B0114">
        <w:rPr>
          <w:b/>
          <w:sz w:val="28"/>
          <w:szCs w:val="28"/>
        </w:rPr>
        <w:t>рішення</w:t>
      </w:r>
      <w:r w:rsidR="006E04B5">
        <w:rPr>
          <w:b/>
          <w:sz w:val="28"/>
          <w:szCs w:val="28"/>
        </w:rPr>
        <w:t>м</w:t>
      </w:r>
      <w:r w:rsidR="000B0114">
        <w:rPr>
          <w:b/>
          <w:sz w:val="28"/>
          <w:szCs w:val="28"/>
        </w:rPr>
        <w:t xml:space="preserve"> Ніжинської міської ради </w:t>
      </w:r>
      <w:r w:rsidR="000B0114">
        <w:rPr>
          <w:b/>
          <w:sz w:val="28"/>
          <w:szCs w:val="28"/>
          <w:lang w:val="en-US"/>
        </w:rPr>
        <w:t>VIII</w:t>
      </w:r>
      <w:r w:rsidR="000B0114" w:rsidRPr="000B0114">
        <w:rPr>
          <w:b/>
          <w:sz w:val="28"/>
          <w:szCs w:val="28"/>
          <w:lang w:val="ru-RU"/>
        </w:rPr>
        <w:t xml:space="preserve"> </w:t>
      </w:r>
      <w:r w:rsidR="000B0114">
        <w:rPr>
          <w:b/>
          <w:sz w:val="28"/>
          <w:szCs w:val="28"/>
        </w:rPr>
        <w:t xml:space="preserve">скликання від 24.12.2020 р. </w:t>
      </w:r>
      <w:r w:rsidR="006E04B5">
        <w:rPr>
          <w:b/>
          <w:sz w:val="28"/>
          <w:szCs w:val="28"/>
        </w:rPr>
        <w:t xml:space="preserve">          </w:t>
      </w:r>
      <w:r w:rsidR="000B0114">
        <w:rPr>
          <w:b/>
          <w:sz w:val="28"/>
          <w:szCs w:val="28"/>
        </w:rPr>
        <w:t>№3-4/2020</w:t>
      </w:r>
    </w:p>
    <w:p w:rsidR="004C3C54" w:rsidRPr="00BE22B8" w:rsidRDefault="004C3C54" w:rsidP="004C3C54">
      <w:pPr>
        <w:rPr>
          <w:sz w:val="28"/>
          <w:szCs w:val="28"/>
        </w:rPr>
      </w:pPr>
    </w:p>
    <w:p w:rsidR="004C3C54" w:rsidRPr="00BE22B8" w:rsidRDefault="004C3C54" w:rsidP="004C3C54">
      <w:pPr>
        <w:jc w:val="center"/>
        <w:rPr>
          <w:sz w:val="28"/>
          <w:szCs w:val="28"/>
        </w:rPr>
      </w:pPr>
    </w:p>
    <w:p w:rsidR="004C3C5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 w:rsidRPr="005C7D8D">
        <w:rPr>
          <w:sz w:val="28"/>
        </w:rPr>
        <w:t xml:space="preserve">Відповідно до </w:t>
      </w:r>
      <w:r>
        <w:rPr>
          <w:sz w:val="28"/>
        </w:rPr>
        <w:t xml:space="preserve">статей </w:t>
      </w:r>
      <w:r w:rsidR="00BE22B8">
        <w:rPr>
          <w:sz w:val="28"/>
        </w:rPr>
        <w:t>2</w:t>
      </w:r>
      <w:r>
        <w:rPr>
          <w:sz w:val="28"/>
        </w:rPr>
        <w:t xml:space="preserve">6, 42, 52, 53, 59, 73 Закону України «Про місцеве самоврядування в Україні», </w:t>
      </w:r>
      <w:r>
        <w:rPr>
          <w:sz w:val="28"/>
          <w:szCs w:val="28"/>
        </w:rPr>
        <w:t xml:space="preserve">Регламенту Ніжинської міської ради Чернігівської області </w:t>
      </w:r>
      <w:r>
        <w:rPr>
          <w:sz w:val="28"/>
          <w:szCs w:val="28"/>
          <w:lang w:val="en-US"/>
        </w:rPr>
        <w:t>VIII</w:t>
      </w:r>
      <w:r w:rsidRPr="00DC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скликання, затвердженого рішенням Ніжинської міської ради </w:t>
      </w:r>
      <w:r w:rsidR="00BE22B8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BE22B8">
        <w:rPr>
          <w:sz w:val="28"/>
          <w:szCs w:val="28"/>
        </w:rPr>
        <w:t>1</w:t>
      </w:r>
      <w:r>
        <w:rPr>
          <w:sz w:val="28"/>
          <w:szCs w:val="28"/>
        </w:rPr>
        <w:t>.2020 р. №</w:t>
      </w:r>
      <w:r w:rsidR="00BE22B8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BE22B8">
        <w:rPr>
          <w:sz w:val="28"/>
          <w:szCs w:val="28"/>
        </w:rPr>
        <w:t>2</w:t>
      </w:r>
      <w:r>
        <w:rPr>
          <w:sz w:val="28"/>
          <w:szCs w:val="28"/>
        </w:rPr>
        <w:t>/2020, та у зв’язку з службовою необхідністю</w:t>
      </w:r>
      <w:r w:rsidR="00BE22B8">
        <w:rPr>
          <w:sz w:val="28"/>
          <w:szCs w:val="28"/>
        </w:rPr>
        <w:t xml:space="preserve"> Ніжинська міська рада вирішила:</w:t>
      </w:r>
      <w:r>
        <w:rPr>
          <w:sz w:val="28"/>
          <w:szCs w:val="28"/>
        </w:rPr>
        <w:t xml:space="preserve"> </w:t>
      </w:r>
    </w:p>
    <w:p w:rsidR="006D58E4" w:rsidRDefault="004C3C54" w:rsidP="000B0114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E22B8">
        <w:rPr>
          <w:sz w:val="28"/>
          <w:szCs w:val="28"/>
        </w:rPr>
        <w:t>Внести</w:t>
      </w:r>
      <w:proofErr w:type="spellEnd"/>
      <w:r w:rsidR="00BE22B8">
        <w:rPr>
          <w:sz w:val="28"/>
          <w:szCs w:val="28"/>
        </w:rPr>
        <w:t xml:space="preserve"> зміни до п</w:t>
      </w:r>
      <w:r w:rsidR="000B0114">
        <w:rPr>
          <w:sz w:val="28"/>
          <w:szCs w:val="28"/>
        </w:rPr>
        <w:t>ідпункт 5.1. пункту 5 Додатку 20 «</w:t>
      </w:r>
      <w:r>
        <w:rPr>
          <w:sz w:val="28"/>
          <w:szCs w:val="28"/>
        </w:rPr>
        <w:t>Міськ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програм</w:t>
      </w:r>
      <w:r w:rsidR="000B01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C3C54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B0114">
        <w:rPr>
          <w:sz w:val="28"/>
          <w:szCs w:val="28"/>
        </w:rPr>
        <w:t>», затвердженого рішенням Ніжинської міської ради від 24.12.2020 р. №3-4/2020</w:t>
      </w:r>
      <w:r w:rsidR="00BE22B8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r w:rsidR="006D58E4">
        <w:rPr>
          <w:sz w:val="28"/>
          <w:szCs w:val="28"/>
        </w:rPr>
        <w:t xml:space="preserve">викласти </w:t>
      </w:r>
      <w:r w:rsidR="00BE22B8">
        <w:rPr>
          <w:sz w:val="28"/>
          <w:szCs w:val="28"/>
        </w:rPr>
        <w:t>його у наступній</w:t>
      </w:r>
      <w:r w:rsidR="006D58E4">
        <w:rPr>
          <w:sz w:val="28"/>
          <w:szCs w:val="28"/>
        </w:rPr>
        <w:t xml:space="preserve"> редакції</w:t>
      </w:r>
      <w:r w:rsidR="00D476A4">
        <w:rPr>
          <w:sz w:val="28"/>
          <w:szCs w:val="28"/>
        </w:rPr>
        <w:t>, що додається.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458A7">
        <w:rPr>
          <w:sz w:val="28"/>
          <w:szCs w:val="28"/>
        </w:rPr>
        <w:t xml:space="preserve">Начальнику відділу з питань діловодства та роботи зі зверненнями громадян апарату виконавчого комітету Ніжинської міської ради </w:t>
      </w:r>
      <w:r>
        <w:rPr>
          <w:sz w:val="28"/>
          <w:szCs w:val="28"/>
        </w:rPr>
        <w:t xml:space="preserve">          </w:t>
      </w:r>
      <w:r w:rsidRPr="003458A7">
        <w:rPr>
          <w:sz w:val="28"/>
          <w:szCs w:val="28"/>
        </w:rPr>
        <w:t>Остапенко С.В., забезпечити доведення змісту цього рішення до відома виконавців та зацікавлених осіб.</w:t>
      </w:r>
    </w:p>
    <w:p w:rsidR="004C3C54" w:rsidRDefault="004C3C54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1F0F">
        <w:rPr>
          <w:sz w:val="28"/>
          <w:szCs w:val="28"/>
        </w:rPr>
        <w:t xml:space="preserve">Начальнику відділу з питань надзвичайних ситуацій, цивільного захисту населення, оборонної та мобілізаційної роботи </w:t>
      </w:r>
      <w:proofErr w:type="spellStart"/>
      <w:r w:rsidRPr="000A1F0F">
        <w:rPr>
          <w:sz w:val="28"/>
          <w:szCs w:val="28"/>
        </w:rPr>
        <w:t>Чуйку</w:t>
      </w:r>
      <w:proofErr w:type="spellEnd"/>
      <w:r w:rsidRPr="000A1F0F">
        <w:rPr>
          <w:sz w:val="28"/>
          <w:szCs w:val="28"/>
        </w:rPr>
        <w:t xml:space="preserve"> М.А. оприлюднити рішення (з додатк</w:t>
      </w:r>
      <w:r w:rsidR="004A1DF7">
        <w:rPr>
          <w:sz w:val="28"/>
          <w:szCs w:val="28"/>
        </w:rPr>
        <w:t>о</w:t>
      </w:r>
      <w:r w:rsidRPr="000A1F0F">
        <w:rPr>
          <w:sz w:val="28"/>
          <w:szCs w:val="28"/>
        </w:rPr>
        <w:t>м) шляхом розміщення на офіційному сайті Ніжинської міської ради.</w:t>
      </w:r>
    </w:p>
    <w:p w:rsidR="001937C6" w:rsidRDefault="001937C6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Організацію виконання цього рішення покласти на першого заступника міського голови з питань діяльності виконавчих органів ради Вовченка Ф.І.</w:t>
      </w:r>
    </w:p>
    <w:p w:rsidR="004C3C54" w:rsidRDefault="007F5247" w:rsidP="004C3C5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37C6">
        <w:rPr>
          <w:sz w:val="28"/>
          <w:szCs w:val="28"/>
        </w:rPr>
        <w:t xml:space="preserve">. </w:t>
      </w:r>
      <w:r w:rsidR="004C3C54">
        <w:rPr>
          <w:sz w:val="28"/>
          <w:szCs w:val="28"/>
        </w:rPr>
        <w:t>Контроль за виконанням р</w:t>
      </w:r>
      <w:r w:rsidR="001937C6">
        <w:rPr>
          <w:sz w:val="28"/>
          <w:szCs w:val="28"/>
        </w:rPr>
        <w:t>іше</w:t>
      </w:r>
      <w:r w:rsidR="004C3C54">
        <w:rPr>
          <w:sz w:val="28"/>
          <w:szCs w:val="28"/>
        </w:rPr>
        <w:t xml:space="preserve">ння покласти на </w:t>
      </w:r>
      <w:r w:rsidR="001937C6">
        <w:rPr>
          <w:sz w:val="28"/>
          <w:szCs w:val="28"/>
        </w:rPr>
        <w:t>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етики.</w:t>
      </w:r>
    </w:p>
    <w:p w:rsidR="004C3C54" w:rsidRDefault="004C3C54" w:rsidP="004C3C54">
      <w:pPr>
        <w:ind w:firstLine="851"/>
        <w:jc w:val="both"/>
        <w:rPr>
          <w:sz w:val="28"/>
          <w:szCs w:val="28"/>
        </w:rPr>
      </w:pPr>
    </w:p>
    <w:p w:rsidR="004C3C54" w:rsidRPr="000A1F0F" w:rsidRDefault="004C3C54" w:rsidP="004C3C54">
      <w:pPr>
        <w:jc w:val="both"/>
        <w:rPr>
          <w:sz w:val="28"/>
          <w:szCs w:val="28"/>
        </w:rPr>
      </w:pPr>
      <w:r w:rsidRPr="000A1F0F">
        <w:rPr>
          <w:sz w:val="28"/>
          <w:szCs w:val="28"/>
        </w:rPr>
        <w:t>Міський голова                                                                Олександр КОДОЛА</w:t>
      </w: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A1DF7" w:rsidRDefault="004A1DF7" w:rsidP="004C3C54">
      <w:pPr>
        <w:pStyle w:val="2"/>
        <w:ind w:left="5220"/>
        <w:rPr>
          <w:szCs w:val="28"/>
        </w:rPr>
      </w:pPr>
    </w:p>
    <w:p w:rsidR="004C3C54" w:rsidRPr="00A5154C" w:rsidRDefault="004C3C54" w:rsidP="004C3C54">
      <w:pPr>
        <w:pStyle w:val="2"/>
        <w:ind w:left="5220"/>
        <w:rPr>
          <w:szCs w:val="28"/>
        </w:rPr>
      </w:pPr>
      <w:r w:rsidRPr="00A5154C">
        <w:rPr>
          <w:szCs w:val="28"/>
        </w:rPr>
        <w:lastRenderedPageBreak/>
        <w:t xml:space="preserve">Додаток </w:t>
      </w:r>
    </w:p>
    <w:p w:rsidR="004C3C54" w:rsidRDefault="004C3C54" w:rsidP="00D476A4">
      <w:pPr>
        <w:pStyle w:val="2"/>
        <w:ind w:left="5220"/>
      </w:pPr>
      <w:r>
        <w:t>до рішення Ніжинської міської ради</w:t>
      </w:r>
      <w:r w:rsidR="00D476A4">
        <w:t xml:space="preserve"> </w:t>
      </w:r>
      <w:r w:rsidR="00D476A4">
        <w:rPr>
          <w:lang w:val="en-US"/>
        </w:rPr>
        <w:t>VII</w:t>
      </w:r>
      <w:r w:rsidR="00D476A4">
        <w:t>І</w:t>
      </w:r>
      <w:r w:rsidR="00D476A4" w:rsidRPr="00D476A4">
        <w:t xml:space="preserve"> </w:t>
      </w:r>
      <w:r w:rsidR="00D476A4">
        <w:t>скликання від «</w:t>
      </w:r>
      <w:r w:rsidR="00647FE0" w:rsidRPr="00647FE0">
        <w:rPr>
          <w:u w:val="single"/>
        </w:rPr>
        <w:t>22</w:t>
      </w:r>
      <w:r>
        <w:t xml:space="preserve">» </w:t>
      </w:r>
      <w:r w:rsidR="00647FE0" w:rsidRPr="00647FE0">
        <w:rPr>
          <w:u w:val="single"/>
        </w:rPr>
        <w:t>04</w:t>
      </w:r>
      <w:r>
        <w:t xml:space="preserve"> 2021 р. № </w:t>
      </w:r>
      <w:r w:rsidR="00647FE0" w:rsidRPr="00647FE0">
        <w:rPr>
          <w:u w:val="single"/>
        </w:rPr>
        <w:t>10-9/2021</w:t>
      </w:r>
    </w:p>
    <w:p w:rsidR="004C3C54" w:rsidRPr="00735732" w:rsidRDefault="004C3C54" w:rsidP="004C3C54">
      <w:pPr>
        <w:pStyle w:val="2"/>
        <w:tabs>
          <w:tab w:val="left" w:pos="5511"/>
          <w:tab w:val="right" w:pos="9616"/>
        </w:tabs>
        <w:ind w:left="6521"/>
        <w:rPr>
          <w:sz w:val="24"/>
          <w:szCs w:val="24"/>
        </w:rPr>
      </w:pPr>
    </w:p>
    <w:p w:rsidR="00D476A4" w:rsidRDefault="00D476A4" w:rsidP="00D47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177D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E3A37"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Забезпечити організацію, фінансування</w:t>
      </w:r>
      <w:r>
        <w:rPr>
          <w:sz w:val="28"/>
          <w:szCs w:val="28"/>
        </w:rPr>
        <w:t>:</w:t>
      </w:r>
    </w:p>
    <w:p w:rsidR="00D476A4" w:rsidRDefault="00D476A4" w:rsidP="00D476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5.1.1. Т</w:t>
      </w:r>
      <w:r w:rsidRPr="00E177D7">
        <w:rPr>
          <w:sz w:val="28"/>
          <w:szCs w:val="28"/>
        </w:rPr>
        <w:t>ранспортн</w:t>
      </w:r>
      <w:r>
        <w:rPr>
          <w:sz w:val="28"/>
          <w:szCs w:val="28"/>
        </w:rPr>
        <w:t>их</w:t>
      </w:r>
      <w:r w:rsidRPr="00E177D7">
        <w:rPr>
          <w:sz w:val="28"/>
          <w:szCs w:val="28"/>
        </w:rPr>
        <w:t xml:space="preserve"> перевезен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 xml:space="preserve"> (відправлен</w:t>
      </w:r>
      <w:r>
        <w:rPr>
          <w:sz w:val="28"/>
          <w:szCs w:val="28"/>
        </w:rPr>
        <w:t>ь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:</w:t>
      </w:r>
      <w:r w:rsidRPr="00E177D7">
        <w:rPr>
          <w:sz w:val="28"/>
          <w:szCs w:val="28"/>
        </w:rPr>
        <w:t xml:space="preserve">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</w:t>
      </w:r>
      <w:r>
        <w:rPr>
          <w:sz w:val="28"/>
          <w:szCs w:val="28"/>
        </w:rPr>
        <w:t>у</w:t>
      </w:r>
      <w:r w:rsidRPr="00E177D7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 </w:t>
      </w:r>
      <w:r w:rsidRPr="00E177D7">
        <w:rPr>
          <w:sz w:val="28"/>
          <w:szCs w:val="28"/>
        </w:rPr>
        <w:t>ро</w:t>
      </w:r>
      <w:r>
        <w:rPr>
          <w:sz w:val="28"/>
          <w:szCs w:val="28"/>
        </w:rPr>
        <w:t>ці</w:t>
      </w:r>
      <w:r w:rsidRPr="00E177D7">
        <w:rPr>
          <w:sz w:val="28"/>
          <w:szCs w:val="28"/>
        </w:rPr>
        <w:t xml:space="preserve"> до обласного збірного пункту Чернігівського обласного територіального центру комплектування та соціальної підтримки</w:t>
      </w:r>
      <w:r>
        <w:rPr>
          <w:sz w:val="28"/>
          <w:szCs w:val="28"/>
        </w:rPr>
        <w:t xml:space="preserve"> (м. Чернігів);</w:t>
      </w:r>
      <w:r w:rsidRPr="00E177D7">
        <w:rPr>
          <w:sz w:val="28"/>
          <w:szCs w:val="28"/>
        </w:rPr>
        <w:t xml:space="preserve"> </w:t>
      </w:r>
      <w:r>
        <w:rPr>
          <w:sz w:val="28"/>
          <w:szCs w:val="28"/>
        </w:rPr>
        <w:t>військовозобов’язаних</w:t>
      </w:r>
      <w:r w:rsidRPr="00E177D7">
        <w:rPr>
          <w:sz w:val="28"/>
          <w:szCs w:val="28"/>
        </w:rPr>
        <w:t>, призваних під час мобілізації та проведення мобілізаційних заходів на навчальні збори</w:t>
      </w:r>
      <w:r>
        <w:rPr>
          <w:sz w:val="28"/>
          <w:szCs w:val="28"/>
        </w:rPr>
        <w:t xml:space="preserve">, </w:t>
      </w:r>
      <w:r w:rsidRPr="00E177D7">
        <w:rPr>
          <w:sz w:val="28"/>
          <w:szCs w:val="28"/>
        </w:rPr>
        <w:t>резервістів оперативного резерву першої черги до місць проходження служби (в/ч А0665 смт. Десна,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 xml:space="preserve">в/ч А1688 смт. </w:t>
      </w:r>
      <w:proofErr w:type="spellStart"/>
      <w:r w:rsidRPr="00E177D7">
        <w:rPr>
          <w:sz w:val="28"/>
          <w:szCs w:val="28"/>
        </w:rPr>
        <w:t>Гончарівське</w:t>
      </w:r>
      <w:proofErr w:type="spellEnd"/>
      <w:r w:rsidRPr="00E177D7">
        <w:rPr>
          <w:sz w:val="28"/>
          <w:szCs w:val="28"/>
        </w:rPr>
        <w:t>, обласний збірний пункт Чернігівського обласного територіальний центр комплектування та соціальної підтримки м.</w:t>
      </w:r>
      <w:r>
        <w:rPr>
          <w:sz w:val="28"/>
          <w:szCs w:val="28"/>
        </w:rPr>
        <w:t xml:space="preserve"> </w:t>
      </w:r>
      <w:r w:rsidRPr="00E177D7">
        <w:rPr>
          <w:sz w:val="28"/>
          <w:szCs w:val="28"/>
        </w:rPr>
        <w:t>Чернігова, інших військових формувань</w:t>
      </w:r>
      <w:r>
        <w:rPr>
          <w:sz w:val="28"/>
          <w:szCs w:val="28"/>
        </w:rPr>
        <w:t xml:space="preserve"> в межах Чернігівської області</w:t>
      </w:r>
      <w:r w:rsidRPr="00E177D7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E177D7">
        <w:rPr>
          <w:sz w:val="28"/>
          <w:szCs w:val="28"/>
        </w:rPr>
        <w:t xml:space="preserve"> </w:t>
      </w:r>
      <w:r w:rsidRPr="00D23D27">
        <w:rPr>
          <w:sz w:val="28"/>
          <w:szCs w:val="28"/>
        </w:rPr>
        <w:t>особового складу роти охорони  Ніжинського об’єднаного міського територіального центру комплектування та соціальної підтримки та батальйону територіальної оборони, а також озброєння та матеріально технічних засобів до місць проведення занять, навчальних зборів</w:t>
      </w:r>
      <w:r>
        <w:rPr>
          <w:sz w:val="28"/>
          <w:szCs w:val="28"/>
        </w:rPr>
        <w:t>.</w:t>
      </w:r>
    </w:p>
    <w:p w:rsidR="00D476A4" w:rsidRDefault="00D476A4" w:rsidP="00D47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5.1.2. П</w:t>
      </w:r>
      <w:r w:rsidRPr="00E177D7">
        <w:rPr>
          <w:sz w:val="28"/>
          <w:szCs w:val="28"/>
        </w:rPr>
        <w:t>ослуг з харчування, придбання продуктів харчування</w:t>
      </w:r>
      <w:r>
        <w:rPr>
          <w:sz w:val="28"/>
          <w:szCs w:val="28"/>
        </w:rPr>
        <w:t xml:space="preserve"> та забезпечення питною водою</w:t>
      </w:r>
      <w:r w:rsidRPr="00E177D7">
        <w:rPr>
          <w:sz w:val="28"/>
          <w:szCs w:val="28"/>
        </w:rPr>
        <w:t xml:space="preserve"> підрозді</w:t>
      </w:r>
      <w:r>
        <w:rPr>
          <w:sz w:val="28"/>
          <w:szCs w:val="28"/>
        </w:rPr>
        <w:t xml:space="preserve">лу територіальної оборони </w:t>
      </w:r>
      <w:r w:rsidRPr="00E177D7">
        <w:rPr>
          <w:sz w:val="28"/>
          <w:szCs w:val="28"/>
        </w:rPr>
        <w:t>та роти охорони</w:t>
      </w:r>
      <w:r>
        <w:rPr>
          <w:sz w:val="28"/>
          <w:szCs w:val="28"/>
        </w:rPr>
        <w:t>, а також вивезення побутового сміття з місць розташування (колишнього санаторію «Пролісок») до міського полігону побутових відходів.</w:t>
      </w:r>
    </w:p>
    <w:p w:rsidR="00D476A4" w:rsidRPr="00D909FE" w:rsidRDefault="00D476A4" w:rsidP="00D476A4">
      <w:pPr>
        <w:ind w:firstLine="709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5.1.3. Надання послуг 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медичн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ого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обстежен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військово-лікарською комісією юнаків </w:t>
      </w:r>
      <w:proofErr w:type="spellStart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допризивного</w:t>
      </w:r>
      <w:proofErr w:type="spellEnd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.</w:t>
      </w:r>
    </w:p>
    <w:p w:rsidR="00D476A4" w:rsidRDefault="00D476A4" w:rsidP="00D476A4">
      <w:pPr>
        <w:spacing w:after="120"/>
        <w:ind w:firstLine="70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>5.1.4. Заходів підтримання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матеріально-технічної бази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до постійної готовності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д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ля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проведення занять, тренувань, навчань,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з </w:t>
      </w:r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бойового </w:t>
      </w:r>
      <w:proofErr w:type="spellStart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>злагодження</w:t>
      </w:r>
      <w:proofErr w:type="spellEnd"/>
      <w:r w:rsidRPr="00D909FE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підрозділів територіальної оборони та роти охорони.</w:t>
      </w:r>
    </w:p>
    <w:p w:rsidR="00D476A4" w:rsidRDefault="00D476A4" w:rsidP="00D47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Перелік завдань міської програми </w:t>
      </w:r>
    </w:p>
    <w:p w:rsidR="00D476A4" w:rsidRDefault="00D476A4" w:rsidP="00D476A4">
      <w:pPr>
        <w:jc w:val="right"/>
      </w:pPr>
      <w:r>
        <w:t>грн.</w:t>
      </w:r>
    </w:p>
    <w:tbl>
      <w:tblPr>
        <w:tblpPr w:leftFromText="180" w:rightFromText="180" w:vertAnchor="text" w:horzAnchor="margin" w:tblpY="11"/>
        <w:tblW w:w="9745" w:type="dxa"/>
        <w:tblLayout w:type="fixed"/>
        <w:tblLook w:val="0000" w:firstRow="0" w:lastRow="0" w:firstColumn="0" w:lastColumn="0" w:noHBand="0" w:noVBand="0"/>
      </w:tblPr>
      <w:tblGrid>
        <w:gridCol w:w="5637"/>
        <w:gridCol w:w="1276"/>
        <w:gridCol w:w="1416"/>
        <w:gridCol w:w="1416"/>
      </w:tblGrid>
      <w:tr w:rsidR="00D476A4" w:rsidTr="00A20F81">
        <w:trPr>
          <w:cantSplit/>
          <w:trHeight w:val="416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20"/>
              </w:rPr>
              <w:t>Мета, завдання, КПК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20"/>
              </w:rPr>
              <w:t>Джерела фінансування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6A4" w:rsidRDefault="00D476A4" w:rsidP="00A20F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Обсяг витрат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Відповідальні</w:t>
            </w:r>
          </w:p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виконавці</w:t>
            </w:r>
          </w:p>
        </w:tc>
      </w:tr>
      <w:tr w:rsidR="00D476A4" w:rsidTr="00A20F81"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A4" w:rsidRDefault="00D476A4" w:rsidP="00A20F81">
            <w:pPr>
              <w:jc w:val="center"/>
            </w:pPr>
            <w:r>
              <w:rPr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6A4" w:rsidRDefault="00D476A4" w:rsidP="00A20F81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76A4" w:rsidRDefault="00D476A4" w:rsidP="00A20F8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76A4" w:rsidRDefault="00D476A4" w:rsidP="00A20F81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D476A4" w:rsidTr="00A20F81">
        <w:trPr>
          <w:trHeight w:val="112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A4" w:rsidRPr="00BF4805" w:rsidRDefault="00D476A4" w:rsidP="00A20F81">
            <w:pPr>
              <w:jc w:val="both"/>
              <w:rPr>
                <w:sz w:val="20"/>
              </w:rPr>
            </w:pPr>
            <w:r w:rsidRPr="00684E05">
              <w:rPr>
                <w:b/>
                <w:sz w:val="20"/>
              </w:rPr>
              <w:t>Завдання 1.</w:t>
            </w:r>
            <w:r w:rsidRPr="00684E05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>
              <w:rPr>
                <w:sz w:val="20"/>
              </w:rPr>
              <w:t>т</w:t>
            </w:r>
            <w:r w:rsidRPr="00BF4805">
              <w:rPr>
                <w:sz w:val="20"/>
              </w:rPr>
              <w:t>ранспортн</w:t>
            </w:r>
            <w:r>
              <w:rPr>
                <w:sz w:val="20"/>
              </w:rPr>
              <w:t>их</w:t>
            </w:r>
            <w:r w:rsidRPr="00BF4805">
              <w:rPr>
                <w:sz w:val="20"/>
              </w:rPr>
              <w:t xml:space="preserve"> перевезен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 (відправлен</w:t>
            </w:r>
            <w:r>
              <w:rPr>
                <w:sz w:val="20"/>
              </w:rPr>
              <w:t>ь</w:t>
            </w:r>
            <w:r w:rsidRPr="00BF4805">
              <w:rPr>
                <w:sz w:val="20"/>
              </w:rPr>
              <w:t xml:space="preserve">): юнаків допризовного віку та призовників, під час підготовки та проведення приписки юнаків до призовної дільниці та призовної компанії на строкову військову службу у 2021 році до обласного збірного пункту Чернігівського обласного територіального центру комплектування та соціальної підтримки </w:t>
            </w:r>
            <w:r>
              <w:rPr>
                <w:sz w:val="20"/>
              </w:rPr>
              <w:t>(</w:t>
            </w:r>
            <w:r w:rsidRPr="00BF4805">
              <w:rPr>
                <w:sz w:val="20"/>
              </w:rPr>
              <w:t>м</w:t>
            </w:r>
            <w:r>
              <w:rPr>
                <w:sz w:val="20"/>
              </w:rPr>
              <w:t>.</w:t>
            </w:r>
            <w:r w:rsidRPr="00BF4805">
              <w:rPr>
                <w:sz w:val="20"/>
              </w:rPr>
              <w:t xml:space="preserve"> Чернігів</w:t>
            </w:r>
            <w:r>
              <w:rPr>
                <w:sz w:val="20"/>
              </w:rPr>
              <w:t>)</w:t>
            </w:r>
            <w:r w:rsidRPr="00BF4805">
              <w:rPr>
                <w:sz w:val="20"/>
              </w:rPr>
              <w:t xml:space="preserve">; військовозобов’язаних, призваних під час мобілізації та проведення мобілізаційних заходів на навчальні збори, резервістів оперативного резерву першої черги до місць проходження служби (в/ч А0665 смт. Десна, в/ч А1688 смт. </w:t>
            </w:r>
            <w:proofErr w:type="spellStart"/>
            <w:r w:rsidRPr="00BF4805">
              <w:rPr>
                <w:sz w:val="20"/>
              </w:rPr>
              <w:t>Гончарівське</w:t>
            </w:r>
            <w:proofErr w:type="spellEnd"/>
            <w:r w:rsidRPr="00BF4805">
              <w:rPr>
                <w:sz w:val="20"/>
              </w:rPr>
              <w:t xml:space="preserve">, обласний збірний пункт Чернігівського обласного територіальний центр комплектування та соціальної підтримки м. Чернігова, інших </w:t>
            </w:r>
            <w:r w:rsidRPr="00BF4805">
              <w:rPr>
                <w:sz w:val="20"/>
              </w:rPr>
              <w:lastRenderedPageBreak/>
              <w:t>військових формувань в межах Чернігівської області);</w:t>
            </w:r>
            <w:r>
              <w:rPr>
                <w:sz w:val="20"/>
              </w:rPr>
              <w:t xml:space="preserve"> особового складу</w:t>
            </w:r>
            <w:r w:rsidRPr="00BF4805">
              <w:rPr>
                <w:sz w:val="20"/>
              </w:rPr>
              <w:t xml:space="preserve"> роти охорони  Ніжинського об’єднаного міського територіального центру комплектування та соціальної підтримки </w:t>
            </w:r>
            <w:r>
              <w:rPr>
                <w:sz w:val="20"/>
              </w:rPr>
              <w:t>та батальйону</w:t>
            </w:r>
            <w:r w:rsidRPr="00BF4805">
              <w:rPr>
                <w:sz w:val="20"/>
              </w:rPr>
              <w:t xml:space="preserve"> територіальної оборони</w:t>
            </w:r>
            <w:r>
              <w:rPr>
                <w:sz w:val="20"/>
              </w:rPr>
              <w:t>, а також</w:t>
            </w:r>
            <w:r w:rsidRPr="00BF4805">
              <w:rPr>
                <w:sz w:val="20"/>
              </w:rPr>
              <w:t xml:space="preserve"> озброєння та матеріально технічних засобів до місць проведення занять, навчальних зборів.</w:t>
            </w:r>
          </w:p>
          <w:p w:rsidR="00D476A4" w:rsidRDefault="00D476A4" w:rsidP="00A20F81">
            <w:pPr>
              <w:jc w:val="both"/>
              <w:rPr>
                <w:rFonts w:eastAsia="Courier New"/>
                <w:color w:val="000000"/>
                <w:sz w:val="20"/>
                <w:shd w:val="clear" w:color="auto" w:fill="FFFFFF"/>
              </w:rPr>
            </w:pPr>
            <w:r w:rsidRPr="0083060C">
              <w:rPr>
                <w:b/>
                <w:sz w:val="20"/>
              </w:rPr>
              <w:t>Завдання 2.</w:t>
            </w:r>
            <w:r w:rsidRPr="0083060C">
              <w:rPr>
                <w:sz w:val="20"/>
              </w:rPr>
              <w:t xml:space="preserve"> </w:t>
            </w:r>
            <w:r w:rsidRPr="00D909FE">
              <w:rPr>
                <w:sz w:val="20"/>
              </w:rPr>
              <w:t xml:space="preserve">Оплата послуг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з медичного обстеження військово-лікарською комісією юнаків </w:t>
            </w:r>
            <w:proofErr w:type="spellStart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допризивного</w:t>
            </w:r>
            <w:proofErr w:type="spellEnd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 віку, призовників, військовозобов’язаних, які залучаються до проведення мобілізаційних заходів, та громадян України, які виявили бажання проходити військову службу у Збройних Силах України за контрактом, або у військовому резерві.</w:t>
            </w:r>
          </w:p>
          <w:p w:rsidR="00D476A4" w:rsidRDefault="00D476A4" w:rsidP="00A20F81">
            <w:pPr>
              <w:jc w:val="both"/>
              <w:rPr>
                <w:sz w:val="20"/>
              </w:rPr>
            </w:pPr>
            <w:r w:rsidRPr="0083060C">
              <w:rPr>
                <w:b/>
                <w:sz w:val="20"/>
              </w:rPr>
              <w:t>Завдання 3.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з харчування, придбання продуктів харчування </w:t>
            </w:r>
            <w:r>
              <w:rPr>
                <w:sz w:val="20"/>
              </w:rPr>
              <w:t xml:space="preserve">та забезпечення питною водою </w:t>
            </w:r>
            <w:r w:rsidRPr="003418AA">
              <w:rPr>
                <w:sz w:val="20"/>
              </w:rPr>
              <w:t xml:space="preserve">під час проведення навчань, тренувань та зборів з підрозділами територіальної оборони та </w:t>
            </w:r>
            <w:proofErr w:type="spellStart"/>
            <w:r w:rsidRPr="003418AA">
              <w:rPr>
                <w:sz w:val="20"/>
              </w:rPr>
              <w:t>ротою</w:t>
            </w:r>
            <w:proofErr w:type="spellEnd"/>
            <w:r w:rsidRPr="003418AA">
              <w:rPr>
                <w:sz w:val="20"/>
              </w:rPr>
              <w:t xml:space="preserve"> охорони</w:t>
            </w:r>
            <w:r>
              <w:rPr>
                <w:sz w:val="20"/>
              </w:rPr>
              <w:t>, а також вивезення побутового сміття з місць розташування (колишнього санаторію «Пролісок») до міського полігону побутов</w:t>
            </w:r>
            <w:r w:rsidR="00772E0B">
              <w:rPr>
                <w:sz w:val="20"/>
              </w:rPr>
              <w:t>их</w:t>
            </w:r>
            <w:r>
              <w:rPr>
                <w:sz w:val="20"/>
              </w:rPr>
              <w:t xml:space="preserve"> відходів</w:t>
            </w:r>
            <w:r w:rsidRPr="003418AA">
              <w:rPr>
                <w:sz w:val="20"/>
              </w:rPr>
              <w:t>.</w:t>
            </w:r>
          </w:p>
          <w:p w:rsidR="00D476A4" w:rsidRDefault="00D476A4" w:rsidP="00A20F81">
            <w:pPr>
              <w:jc w:val="both"/>
            </w:pPr>
            <w:r w:rsidRPr="0083060C">
              <w:rPr>
                <w:b/>
                <w:sz w:val="20"/>
              </w:rPr>
              <w:t xml:space="preserve">Завдання </w:t>
            </w:r>
            <w:r>
              <w:rPr>
                <w:b/>
                <w:sz w:val="20"/>
              </w:rPr>
              <w:t>4</w:t>
            </w:r>
            <w:r w:rsidRPr="0083060C">
              <w:rPr>
                <w:b/>
                <w:sz w:val="20"/>
              </w:rPr>
              <w:t>.</w:t>
            </w:r>
            <w:r w:rsidRPr="0083060C">
              <w:rPr>
                <w:sz w:val="20"/>
              </w:rPr>
              <w:t xml:space="preserve"> </w:t>
            </w:r>
            <w:r>
              <w:t xml:space="preserve"> </w:t>
            </w:r>
            <w:r w:rsidRPr="003418AA">
              <w:rPr>
                <w:sz w:val="20"/>
              </w:rPr>
              <w:t xml:space="preserve">Оплата послуг із </w:t>
            </w:r>
            <w:r>
              <w:rPr>
                <w:rFonts w:eastAsia="Courier New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підтримання матеріально-технічної бази до постійної готовності для проведення занять, тренувань, навчань, з бойового </w:t>
            </w:r>
            <w:proofErr w:type="spellStart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>злагодження</w:t>
            </w:r>
            <w:proofErr w:type="spellEnd"/>
            <w:r w:rsidRPr="00D23D27">
              <w:rPr>
                <w:rFonts w:eastAsia="Courier New"/>
                <w:color w:val="000000"/>
                <w:sz w:val="20"/>
                <w:shd w:val="clear" w:color="auto" w:fill="FFFFFF"/>
              </w:rPr>
              <w:t xml:space="preserve"> підрозділів територіальної оборони та роти охорони</w:t>
            </w:r>
            <w:r w:rsidRPr="00D23D27">
              <w:rPr>
                <w:sz w:val="20"/>
              </w:rPr>
              <w:t xml:space="preserve"> </w:t>
            </w:r>
            <w:r w:rsidRPr="003418AA">
              <w:rPr>
                <w:sz w:val="20"/>
              </w:rPr>
              <w:t>(</w:t>
            </w:r>
            <w:r>
              <w:rPr>
                <w:sz w:val="20"/>
              </w:rPr>
              <w:t>придбання:</w:t>
            </w:r>
            <w:r w:rsidRPr="003418AA">
              <w:rPr>
                <w:sz w:val="20"/>
              </w:rPr>
              <w:t xml:space="preserve"> палатки УСБ-56 - 2шт.; радіостанції DMR </w:t>
            </w:r>
            <w:proofErr w:type="spellStart"/>
            <w:r w:rsidRPr="003418AA">
              <w:rPr>
                <w:sz w:val="20"/>
              </w:rPr>
              <w:t>Baofeng</w:t>
            </w:r>
            <w:proofErr w:type="spellEnd"/>
            <w:r w:rsidRPr="003418AA">
              <w:rPr>
                <w:sz w:val="20"/>
              </w:rPr>
              <w:t xml:space="preserve"> DM-5R V3 -21шт.; </w:t>
            </w:r>
            <w:proofErr w:type="spellStart"/>
            <w:r w:rsidRPr="003418AA">
              <w:rPr>
                <w:sz w:val="20"/>
              </w:rPr>
              <w:t>ліхтарь</w:t>
            </w:r>
            <w:proofErr w:type="spellEnd"/>
            <w:r w:rsidRPr="003418AA">
              <w:rPr>
                <w:sz w:val="20"/>
              </w:rPr>
              <w:t xml:space="preserve"> </w:t>
            </w:r>
            <w:proofErr w:type="spellStart"/>
            <w:r w:rsidRPr="003418AA">
              <w:rPr>
                <w:sz w:val="20"/>
              </w:rPr>
              <w:t>трьохкольоровий</w:t>
            </w:r>
            <w:proofErr w:type="spellEnd"/>
            <w:r w:rsidRPr="003418AA">
              <w:rPr>
                <w:sz w:val="20"/>
              </w:rPr>
              <w:t xml:space="preserve"> </w:t>
            </w:r>
            <w:proofErr w:type="spellStart"/>
            <w:r w:rsidRPr="003418AA">
              <w:rPr>
                <w:sz w:val="20"/>
              </w:rPr>
              <w:t>Carp</w:t>
            </w:r>
            <w:proofErr w:type="spellEnd"/>
            <w:r w:rsidRPr="003418AA">
              <w:rPr>
                <w:sz w:val="20"/>
              </w:rPr>
              <w:t xml:space="preserve"> </w:t>
            </w:r>
            <w:proofErr w:type="spellStart"/>
            <w:r w:rsidRPr="003418AA">
              <w:rPr>
                <w:sz w:val="20"/>
              </w:rPr>
              <w:t>Pro</w:t>
            </w:r>
            <w:proofErr w:type="spellEnd"/>
            <w:r w:rsidRPr="003418AA">
              <w:rPr>
                <w:sz w:val="20"/>
              </w:rPr>
              <w:t xml:space="preserve"> WRG </w:t>
            </w:r>
            <w:proofErr w:type="spellStart"/>
            <w:r w:rsidRPr="003418AA">
              <w:rPr>
                <w:sz w:val="20"/>
              </w:rPr>
              <w:t>Headtorch</w:t>
            </w:r>
            <w:proofErr w:type="spellEnd"/>
            <w:r w:rsidRPr="003418AA">
              <w:rPr>
                <w:sz w:val="20"/>
              </w:rPr>
              <w:t xml:space="preserve"> – 10 шт.; плакати формату А0 – 30шт; банери 3м х2,5м – 4шт</w:t>
            </w:r>
            <w:r>
              <w:rPr>
                <w:sz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76A4" w:rsidRDefault="00D476A4" w:rsidP="0015057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Бюджет Ніжинської міської </w:t>
            </w:r>
            <w:proofErr w:type="spellStart"/>
            <w:r>
              <w:rPr>
                <w:sz w:val="20"/>
              </w:rPr>
              <w:t>терторіаль-ної</w:t>
            </w:r>
            <w:proofErr w:type="spellEnd"/>
            <w:r>
              <w:rPr>
                <w:sz w:val="20"/>
              </w:rPr>
              <w:t xml:space="preserve"> громади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</w:t>
            </w: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Default="00D476A4" w:rsidP="00A20F81">
            <w:pPr>
              <w:jc w:val="center"/>
              <w:rPr>
                <w:sz w:val="20"/>
              </w:rPr>
            </w:pPr>
          </w:p>
          <w:p w:rsidR="00D476A4" w:rsidRPr="00684E05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6A4" w:rsidRPr="00684E05" w:rsidRDefault="00D476A4" w:rsidP="00A20F8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Виконавчий комітет Ніжинської міської ради</w:t>
            </w:r>
          </w:p>
        </w:tc>
      </w:tr>
    </w:tbl>
    <w:p w:rsidR="004C3C54" w:rsidRPr="004A1DF7" w:rsidRDefault="004C3C54" w:rsidP="004C3C54">
      <w:pPr>
        <w:rPr>
          <w:sz w:val="28"/>
          <w:szCs w:val="28"/>
        </w:rPr>
      </w:pPr>
    </w:p>
    <w:p w:rsidR="004A1DF7" w:rsidRPr="004A1DF7" w:rsidRDefault="004A1DF7" w:rsidP="004C3C54">
      <w:pPr>
        <w:rPr>
          <w:sz w:val="28"/>
          <w:szCs w:val="28"/>
        </w:rPr>
      </w:pPr>
    </w:p>
    <w:p w:rsidR="0015057E" w:rsidRDefault="0015057E" w:rsidP="0015057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4C3C54" w:rsidRDefault="0015057E" w:rsidP="0015057E">
      <w:pPr>
        <w:pStyle w:val="2"/>
      </w:pPr>
      <w:r>
        <w:rPr>
          <w:szCs w:val="28"/>
        </w:rPr>
        <w:t>НС, ЦЗН, ОМР</w:t>
      </w:r>
      <w:r w:rsidRPr="00FF2699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FF2699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Микола ЧУЙКО</w:t>
      </w:r>
    </w:p>
    <w:p w:rsidR="004C3C54" w:rsidRDefault="004C3C54" w:rsidP="004C3C54">
      <w:pPr>
        <w:sectPr w:rsidR="004C3C54" w:rsidSect="00A50D96">
          <w:pgSz w:w="11909" w:h="16834"/>
          <w:pgMar w:top="851" w:right="567" w:bottom="851" w:left="1701" w:header="720" w:footer="720" w:gutter="0"/>
          <w:cols w:space="708"/>
          <w:noEndnote/>
          <w:docGrid w:linePitch="381"/>
        </w:sect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 w:rsidRPr="00231A26">
        <w:rPr>
          <w:sz w:val="28"/>
          <w:szCs w:val="28"/>
        </w:rPr>
        <w:lastRenderedPageBreak/>
        <w:t>Візують: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захисту, оборонної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                                                     </w:t>
      </w:r>
      <w:r w:rsidR="00203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03723">
        <w:rPr>
          <w:sz w:val="28"/>
          <w:szCs w:val="28"/>
        </w:rPr>
        <w:t xml:space="preserve">   </w:t>
      </w:r>
      <w:r>
        <w:rPr>
          <w:sz w:val="28"/>
          <w:szCs w:val="28"/>
        </w:rPr>
        <w:t>Микола ЧУЙКО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роботи виконавчих органів ради                            </w:t>
      </w:r>
      <w:r w:rsidR="00203723">
        <w:rPr>
          <w:sz w:val="28"/>
          <w:szCs w:val="28"/>
        </w:rPr>
        <w:t xml:space="preserve">    </w:t>
      </w:r>
      <w:r>
        <w:rPr>
          <w:sz w:val="28"/>
          <w:szCs w:val="28"/>
        </w:rPr>
        <w:t>Федір ВОВЧЕНКО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</w:t>
      </w:r>
      <w:r w:rsidR="002037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037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Людмила ПИСАРЕНКО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BE22B8" w:rsidRDefault="00BE22B8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бухгалтерського обліку</w:t>
      </w:r>
    </w:p>
    <w:p w:rsidR="00BE22B8" w:rsidRDefault="00203723" w:rsidP="00BE22B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22B8">
        <w:rPr>
          <w:sz w:val="28"/>
          <w:szCs w:val="28"/>
        </w:rPr>
        <w:t>иконавчого комітету Ніжинської міської ради                     Наталія ЄФІМЕНКО</w:t>
      </w:r>
    </w:p>
    <w:p w:rsidR="00BE22B8" w:rsidRDefault="00BE22B8" w:rsidP="004C3C54">
      <w:pPr>
        <w:ind w:right="-1"/>
        <w:jc w:val="both"/>
        <w:rPr>
          <w:sz w:val="28"/>
          <w:szCs w:val="28"/>
        </w:rPr>
      </w:pP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 – </w:t>
      </w:r>
    </w:p>
    <w:p w:rsidR="004C3C54" w:rsidRDefault="004C3C54" w:rsidP="004C3C5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кадрового забезпечення виконавчого </w:t>
      </w:r>
    </w:p>
    <w:p w:rsidR="004C3C54" w:rsidRPr="00D1472A" w:rsidRDefault="004C3C54" w:rsidP="004C3C54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комітету Ніжинської міської ради                                            В’ячеслав ЛЕГА</w:t>
      </w:r>
    </w:p>
    <w:p w:rsidR="004C3C54" w:rsidRDefault="004C3C54" w:rsidP="004C3C54">
      <w:pPr>
        <w:rPr>
          <w:sz w:val="28"/>
          <w:szCs w:val="28"/>
        </w:rPr>
      </w:pP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питань соціально-економічного розвитку,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підприємництва, інвестиційної діяльності,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бюджету та фінансів                                                               </w:t>
      </w:r>
      <w:r w:rsidR="002037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Володимир </w:t>
      </w:r>
      <w:proofErr w:type="spellStart"/>
      <w:r>
        <w:rPr>
          <w:sz w:val="28"/>
          <w:szCs w:val="28"/>
        </w:rPr>
        <w:t>Мамедов</w:t>
      </w:r>
      <w:proofErr w:type="spellEnd"/>
    </w:p>
    <w:p w:rsidR="004C3C54" w:rsidRDefault="004C3C54" w:rsidP="004C3C54"/>
    <w:p w:rsidR="004C3C54" w:rsidRDefault="004C3C54" w:rsidP="004C3C54"/>
    <w:p w:rsidR="004C3C54" w:rsidRDefault="004C3C54" w:rsidP="004C3C54"/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Постійна комісія міської ради з питань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регламенту, законності, охорони прав і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 громадян, запобігання корупції, </w:t>
      </w:r>
    </w:p>
    <w:p w:rsidR="001937C6" w:rsidRDefault="001937C6" w:rsidP="00193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адміністративно-територіального устрою, </w:t>
      </w:r>
    </w:p>
    <w:p w:rsidR="001937C6" w:rsidRDefault="001937C6" w:rsidP="001937C6">
      <w:pPr>
        <w:tabs>
          <w:tab w:val="left" w:pos="43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депутатської діяльності та етики</w:t>
      </w:r>
      <w:r>
        <w:rPr>
          <w:sz w:val="28"/>
          <w:szCs w:val="28"/>
        </w:rPr>
        <w:tab/>
        <w:t xml:space="preserve">      </w:t>
      </w:r>
      <w:r w:rsidR="0020372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Валерій САЛОГУБ</w:t>
      </w:r>
    </w:p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/>
    <w:p w:rsidR="004C3C54" w:rsidRDefault="004C3C54" w:rsidP="004C3C54">
      <w:pPr>
        <w:sectPr w:rsidR="004C3C54" w:rsidSect="002469C7">
          <w:pgSz w:w="11909" w:h="16834"/>
          <w:pgMar w:top="851" w:right="1701" w:bottom="851" w:left="567" w:header="720" w:footer="720" w:gutter="0"/>
          <w:cols w:space="708"/>
          <w:noEndnote/>
          <w:docGrid w:linePitch="381"/>
        </w:sectPr>
      </w:pPr>
    </w:p>
    <w:p w:rsidR="004C3C54" w:rsidRPr="00F2400B" w:rsidRDefault="004C3C54" w:rsidP="004C3C54">
      <w:pPr>
        <w:jc w:val="center"/>
        <w:rPr>
          <w:sz w:val="28"/>
          <w:szCs w:val="28"/>
        </w:rPr>
      </w:pPr>
      <w:r w:rsidRPr="00F2400B">
        <w:rPr>
          <w:sz w:val="28"/>
          <w:szCs w:val="28"/>
        </w:rPr>
        <w:lastRenderedPageBreak/>
        <w:t>ПОЯСНЮВАЛЬНА ЗАПИСКА</w:t>
      </w:r>
    </w:p>
    <w:p w:rsidR="004C3C54" w:rsidRPr="004A1DF7" w:rsidRDefault="004C3C54" w:rsidP="004C3C54">
      <w:pPr>
        <w:pStyle w:val="2"/>
        <w:spacing w:after="120"/>
        <w:jc w:val="both"/>
        <w:rPr>
          <w:szCs w:val="28"/>
        </w:rPr>
      </w:pPr>
      <w:r w:rsidRPr="00F2400B">
        <w:rPr>
          <w:szCs w:val="28"/>
        </w:rPr>
        <w:t xml:space="preserve">до проекту рішення Ніжинської міської ради  </w:t>
      </w:r>
      <w:r w:rsidRPr="00F2400B">
        <w:rPr>
          <w:b/>
          <w:szCs w:val="28"/>
        </w:rPr>
        <w:t>«</w:t>
      </w:r>
      <w:r w:rsidR="004A1DF7" w:rsidRPr="004A1DF7">
        <w:rPr>
          <w:szCs w:val="28"/>
        </w:rPr>
        <w:t xml:space="preserve">Про внесення змін до </w:t>
      </w:r>
      <w:r w:rsidR="0015057E">
        <w:rPr>
          <w:szCs w:val="28"/>
        </w:rPr>
        <w:t>Д</w:t>
      </w:r>
      <w:r w:rsidR="004A1DF7" w:rsidRPr="004A1DF7">
        <w:rPr>
          <w:szCs w:val="28"/>
        </w:rPr>
        <w:t>одатку 20 «Міська програма допризовної підготовки</w:t>
      </w:r>
      <w:r w:rsidR="004A1DF7" w:rsidRPr="004A1DF7">
        <w:rPr>
          <w:szCs w:val="28"/>
          <w:lang w:eastAsia="ru-RU"/>
        </w:rPr>
        <w:t xml:space="preserve">, мобілізаційних заходів, територіальної оборони, утримання полігону (майданчику) </w:t>
      </w:r>
      <w:r w:rsidR="004A1DF7" w:rsidRPr="004A1DF7">
        <w:rPr>
          <w:szCs w:val="28"/>
        </w:rPr>
        <w:t xml:space="preserve">Ніжинської міської територіальної громади </w:t>
      </w:r>
      <w:r w:rsidR="004A1DF7" w:rsidRPr="004A1DF7">
        <w:rPr>
          <w:szCs w:val="28"/>
          <w:lang w:eastAsia="ru-RU"/>
        </w:rPr>
        <w:t>на 2021 рік</w:t>
      </w:r>
      <w:r w:rsidR="004A1DF7" w:rsidRPr="004A1DF7">
        <w:rPr>
          <w:szCs w:val="28"/>
        </w:rPr>
        <w:t>»</w:t>
      </w:r>
      <w:r w:rsidR="006E04B5">
        <w:rPr>
          <w:szCs w:val="28"/>
        </w:rPr>
        <w:t>, затвердженого</w:t>
      </w:r>
      <w:r w:rsidR="004A1DF7" w:rsidRPr="004A1DF7">
        <w:rPr>
          <w:szCs w:val="28"/>
        </w:rPr>
        <w:t xml:space="preserve"> рішення</w:t>
      </w:r>
      <w:r w:rsidR="006E04B5">
        <w:rPr>
          <w:szCs w:val="28"/>
        </w:rPr>
        <w:t>м</w:t>
      </w:r>
      <w:r w:rsidR="004A1DF7" w:rsidRPr="004A1DF7">
        <w:rPr>
          <w:szCs w:val="28"/>
        </w:rPr>
        <w:t xml:space="preserve"> Ніжинської міської ради </w:t>
      </w:r>
      <w:r w:rsidR="004A1DF7" w:rsidRPr="004A1DF7">
        <w:rPr>
          <w:szCs w:val="28"/>
          <w:lang w:val="en-US"/>
        </w:rPr>
        <w:t>VIII</w:t>
      </w:r>
      <w:r w:rsidR="004A1DF7" w:rsidRPr="004A1DF7">
        <w:rPr>
          <w:szCs w:val="28"/>
        </w:rPr>
        <w:t xml:space="preserve"> скликання від 24.12.2020 р. №3-4/2020</w:t>
      </w:r>
      <w:r w:rsidRPr="004A1DF7">
        <w:rPr>
          <w:szCs w:val="28"/>
        </w:rPr>
        <w:t>»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1. Обґрунтування необхідності прийняття рішення.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Відповідно до Закону України «Про військовий обов'язок і військову службу», Закону України «Про оборону України», </w:t>
      </w:r>
      <w:r w:rsidR="004A1DF7">
        <w:rPr>
          <w:sz w:val="28"/>
          <w:szCs w:val="28"/>
        </w:rPr>
        <w:t>та у зв’язку з службовою необхідністю</w:t>
      </w:r>
      <w:r>
        <w:rPr>
          <w:sz w:val="28"/>
          <w:szCs w:val="28"/>
        </w:rPr>
        <w:t>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 w:rsidRPr="00F2400B">
        <w:rPr>
          <w:sz w:val="28"/>
          <w:szCs w:val="28"/>
          <w:u w:val="single"/>
        </w:rPr>
        <w:t>2.Загальна характеристика та основні положення проекту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Проектом рішення передбачається </w:t>
      </w:r>
      <w:r w:rsidR="004A1DF7">
        <w:rPr>
          <w:sz w:val="28"/>
          <w:szCs w:val="28"/>
        </w:rPr>
        <w:t xml:space="preserve">внесення змін до текстової частини Міської програми </w:t>
      </w:r>
      <w:r w:rsidR="004A1DF7" w:rsidRPr="004A1DF7">
        <w:rPr>
          <w:sz w:val="28"/>
          <w:szCs w:val="28"/>
        </w:rPr>
        <w:t>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4A1DF7">
        <w:rPr>
          <w:sz w:val="28"/>
          <w:szCs w:val="28"/>
        </w:rPr>
        <w:t xml:space="preserve"> без змін в обсягах фінансування</w:t>
      </w:r>
      <w:r w:rsidRPr="00F2400B">
        <w:rPr>
          <w:sz w:val="28"/>
          <w:szCs w:val="28"/>
        </w:rPr>
        <w:t xml:space="preserve">.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Проект складається з </w:t>
      </w:r>
      <w:r>
        <w:rPr>
          <w:sz w:val="28"/>
          <w:szCs w:val="28"/>
        </w:rPr>
        <w:t>4</w:t>
      </w:r>
      <w:r w:rsidRPr="00F2400B">
        <w:rPr>
          <w:sz w:val="28"/>
          <w:szCs w:val="28"/>
        </w:rPr>
        <w:t xml:space="preserve"> пунктів, </w:t>
      </w:r>
      <w:r>
        <w:rPr>
          <w:sz w:val="28"/>
          <w:szCs w:val="28"/>
        </w:rPr>
        <w:t>1-го</w:t>
      </w:r>
      <w:r w:rsidRPr="00F2400B">
        <w:rPr>
          <w:sz w:val="28"/>
          <w:szCs w:val="28"/>
        </w:rPr>
        <w:t xml:space="preserve"> додатк</w:t>
      </w:r>
      <w:r>
        <w:rPr>
          <w:sz w:val="28"/>
          <w:szCs w:val="28"/>
        </w:rPr>
        <w:t>у</w:t>
      </w:r>
      <w:r w:rsidRPr="00F2400B">
        <w:rPr>
          <w:sz w:val="28"/>
          <w:szCs w:val="28"/>
        </w:rPr>
        <w:t xml:space="preserve">.  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</w:t>
      </w:r>
      <w:r w:rsidRPr="00F2400B">
        <w:rPr>
          <w:sz w:val="28"/>
          <w:szCs w:val="28"/>
          <w:u w:val="single"/>
        </w:rPr>
        <w:t>. Стан нормативно-правової бази у даній сфері правового регулювання.</w:t>
      </w:r>
    </w:p>
    <w:p w:rsidR="004C3C54" w:rsidRPr="00F2400B" w:rsidRDefault="004C3C54" w:rsidP="004C3C5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400B">
        <w:rPr>
          <w:sz w:val="28"/>
          <w:szCs w:val="28"/>
        </w:rPr>
        <w:t>Ст. 36 Закону України «Про місцеве самоврядування в Україні» визначає повноваження виконавчого комітету в галузі оборонної роботи, зокрема: «</w:t>
      </w:r>
      <w:r w:rsidRPr="00F2400B">
        <w:rPr>
          <w:b/>
          <w:color w:val="000000"/>
          <w:sz w:val="28"/>
          <w:szCs w:val="28"/>
        </w:rPr>
        <w:t>сприяння організації призову громадян на строкову військову та альтернативну (невійськову) службу, а також їх мобілізації, підготовці молоді до служби в Збройних Силах України</w:t>
      </w:r>
      <w:r w:rsidRPr="00F2400B">
        <w:rPr>
          <w:color w:val="000000"/>
          <w:sz w:val="28"/>
          <w:szCs w:val="28"/>
        </w:rPr>
        <w:t xml:space="preserve">…», </w:t>
      </w:r>
    </w:p>
    <w:p w:rsidR="004C3C54" w:rsidRPr="00F2400B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>Підставою для розгляду та схвалення даного проекту рішення також є статті</w:t>
      </w:r>
      <w:r>
        <w:rPr>
          <w:sz w:val="28"/>
          <w:szCs w:val="28"/>
        </w:rPr>
        <w:t xml:space="preserve"> </w:t>
      </w:r>
      <w:r w:rsidRPr="00F2400B">
        <w:rPr>
          <w:sz w:val="28"/>
          <w:szCs w:val="28"/>
        </w:rPr>
        <w:t xml:space="preserve">40, 42, 52, 53, 59, 73 Закону України "Про місцеве самоврядування в Україні". </w:t>
      </w:r>
    </w:p>
    <w:p w:rsidR="004C3C54" w:rsidRPr="00174599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Pr="00174599">
        <w:rPr>
          <w:sz w:val="28"/>
          <w:szCs w:val="28"/>
          <w:u w:val="single"/>
        </w:rPr>
        <w:t>. Фінансово-економічне обґрунтування.</w:t>
      </w:r>
    </w:p>
    <w:p w:rsidR="004C3C54" w:rsidRPr="00174599" w:rsidRDefault="004C3C54" w:rsidP="004C3C54">
      <w:pPr>
        <w:spacing w:after="120"/>
        <w:ind w:firstLine="709"/>
        <w:jc w:val="both"/>
        <w:rPr>
          <w:sz w:val="28"/>
          <w:szCs w:val="28"/>
        </w:rPr>
      </w:pPr>
      <w:r w:rsidRPr="00174599">
        <w:rPr>
          <w:sz w:val="28"/>
          <w:szCs w:val="28"/>
        </w:rPr>
        <w:t>Реалізація даного проекту рішення не передбачає видатків з міського бюджету.</w:t>
      </w:r>
    </w:p>
    <w:p w:rsidR="004C3C54" w:rsidRPr="00F2400B" w:rsidRDefault="004C3C54" w:rsidP="004C3C5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Pr="00F2400B">
        <w:rPr>
          <w:sz w:val="28"/>
          <w:szCs w:val="28"/>
          <w:u w:val="single"/>
        </w:rPr>
        <w:t>.Прогноз соціально-економічних наслідків прийняття рішення.</w:t>
      </w:r>
    </w:p>
    <w:p w:rsidR="004C3C54" w:rsidRDefault="004C3C54" w:rsidP="004C3C54">
      <w:pPr>
        <w:ind w:firstLine="709"/>
        <w:jc w:val="both"/>
        <w:rPr>
          <w:sz w:val="28"/>
          <w:szCs w:val="28"/>
        </w:rPr>
      </w:pPr>
      <w:r w:rsidRPr="00F2400B">
        <w:rPr>
          <w:sz w:val="28"/>
          <w:szCs w:val="28"/>
        </w:rPr>
        <w:t xml:space="preserve">Основними результатом, якого планується досягти </w:t>
      </w:r>
      <w:r>
        <w:rPr>
          <w:sz w:val="28"/>
          <w:szCs w:val="28"/>
        </w:rPr>
        <w:t xml:space="preserve">є </w:t>
      </w:r>
      <w:r w:rsidR="004A1DF7">
        <w:rPr>
          <w:sz w:val="28"/>
          <w:szCs w:val="28"/>
        </w:rPr>
        <w:t xml:space="preserve">сприяння в своєчасному та  організованому проведенні заходів з </w:t>
      </w:r>
      <w:r w:rsidR="0015057E">
        <w:rPr>
          <w:sz w:val="28"/>
          <w:szCs w:val="28"/>
        </w:rPr>
        <w:t>допризовної підготовки, призову на строкову військову службу, заходів мобілізаційної підготовки та мобілізації, а також підготовки територіальної оборони Ніжинської територіальної громади</w:t>
      </w:r>
      <w:r w:rsidRPr="00F2400B">
        <w:rPr>
          <w:sz w:val="28"/>
          <w:szCs w:val="28"/>
        </w:rPr>
        <w:t>.</w:t>
      </w:r>
    </w:p>
    <w:p w:rsidR="004C3C54" w:rsidRPr="00F2400B" w:rsidRDefault="004C3C54" w:rsidP="004C3C54">
      <w:pPr>
        <w:ind w:firstLine="709"/>
        <w:jc w:val="both"/>
        <w:rPr>
          <w:sz w:val="28"/>
          <w:szCs w:val="28"/>
        </w:rPr>
      </w:pPr>
    </w:p>
    <w:p w:rsidR="004C3C54" w:rsidRDefault="004C3C54" w:rsidP="004C3C5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 w:rsidR="004C3C54" w:rsidRPr="00FF2699" w:rsidRDefault="004C3C54" w:rsidP="004C3C54">
      <w:pPr>
        <w:rPr>
          <w:sz w:val="28"/>
          <w:szCs w:val="28"/>
        </w:rPr>
      </w:pPr>
      <w:r>
        <w:rPr>
          <w:sz w:val="28"/>
          <w:szCs w:val="28"/>
        </w:rPr>
        <w:t>НС, ЦЗН, ОМР</w:t>
      </w:r>
      <w:r w:rsidRPr="00FF2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FF269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Микола ЧУЙКО</w:t>
      </w:r>
    </w:p>
    <w:p w:rsidR="004C3C54" w:rsidRDefault="004C3C54" w:rsidP="004C3C54"/>
    <w:p w:rsidR="00F765E6" w:rsidRDefault="00F765E6"/>
    <w:sectPr w:rsidR="00F765E6" w:rsidSect="00174599">
      <w:headerReference w:type="default" r:id="rId7"/>
      <w:pgSz w:w="11906" w:h="16838" w:code="9"/>
      <w:pgMar w:top="851" w:right="567" w:bottom="851" w:left="1701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79" w:rsidRDefault="00C00579">
      <w:r>
        <w:separator/>
      </w:r>
    </w:p>
  </w:endnote>
  <w:endnote w:type="continuationSeparator" w:id="0">
    <w:p w:rsidR="00C00579" w:rsidRDefault="00C0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79" w:rsidRDefault="00C00579">
      <w:r>
        <w:separator/>
      </w:r>
    </w:p>
  </w:footnote>
  <w:footnote w:type="continuationSeparator" w:id="0">
    <w:p w:rsidR="00C00579" w:rsidRDefault="00C0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57" w:rsidRPr="007B361D" w:rsidRDefault="00C00579" w:rsidP="007B3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FE"/>
    <w:rsid w:val="000B0114"/>
    <w:rsid w:val="0015057E"/>
    <w:rsid w:val="001937C6"/>
    <w:rsid w:val="001B269D"/>
    <w:rsid w:val="001D779E"/>
    <w:rsid w:val="00203723"/>
    <w:rsid w:val="00264C8E"/>
    <w:rsid w:val="004A1DF7"/>
    <w:rsid w:val="004C3C54"/>
    <w:rsid w:val="00647FE0"/>
    <w:rsid w:val="006D58E4"/>
    <w:rsid w:val="006E04B5"/>
    <w:rsid w:val="00772E0B"/>
    <w:rsid w:val="007B4644"/>
    <w:rsid w:val="007F5247"/>
    <w:rsid w:val="009605FC"/>
    <w:rsid w:val="00A07DB2"/>
    <w:rsid w:val="00A22CC8"/>
    <w:rsid w:val="00BE22B8"/>
    <w:rsid w:val="00C00579"/>
    <w:rsid w:val="00CD4C42"/>
    <w:rsid w:val="00D30BFE"/>
    <w:rsid w:val="00D476A4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BE8E"/>
  <w15:docId w15:val="{4C925427-B714-4C0C-8A0E-39921E48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54"/>
    <w:pPr>
      <w:spacing w:line="240" w:lineRule="auto"/>
      <w:jc w:val="left"/>
    </w:pPr>
    <w:rPr>
      <w:rFonts w:eastAsia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C3C54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C3C54"/>
    <w:rPr>
      <w:sz w:val="28"/>
      <w:lang w:eastAsia="uk-UA"/>
    </w:rPr>
  </w:style>
  <w:style w:type="character" w:customStyle="1" w:styleId="20">
    <w:name w:val="Основной текст 2 Знак"/>
    <w:basedOn w:val="a0"/>
    <w:link w:val="2"/>
    <w:rsid w:val="004C3C54"/>
    <w:rPr>
      <w:rFonts w:eastAsia="Times New Roman"/>
      <w:szCs w:val="20"/>
      <w:lang w:val="uk-UA" w:eastAsia="uk-UA"/>
    </w:rPr>
  </w:style>
  <w:style w:type="paragraph" w:styleId="a3">
    <w:name w:val="header"/>
    <w:basedOn w:val="a"/>
    <w:link w:val="a4"/>
    <w:semiHidden/>
    <w:rsid w:val="004C3C54"/>
    <w:pPr>
      <w:tabs>
        <w:tab w:val="center" w:pos="4153"/>
        <w:tab w:val="right" w:pos="8306"/>
      </w:tabs>
    </w:pPr>
    <w:rPr>
      <w:lang w:eastAsia="uk-UA"/>
    </w:rPr>
  </w:style>
  <w:style w:type="character" w:customStyle="1" w:styleId="a4">
    <w:name w:val="Верхний колонтитул Знак"/>
    <w:basedOn w:val="a0"/>
    <w:link w:val="a3"/>
    <w:semiHidden/>
    <w:rsid w:val="004C3C54"/>
    <w:rPr>
      <w:rFonts w:eastAsia="Times New Roman"/>
      <w:sz w:val="24"/>
      <w:szCs w:val="20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4C3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C5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rsid w:val="004C3C54"/>
    <w:rPr>
      <w:rFonts w:ascii="Tms Rmn" w:eastAsia="Times New Roman" w:hAnsi="Tms Rmn"/>
      <w:b/>
      <w:bCs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6373</Words>
  <Characters>3633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РСО</dc:creator>
  <cp:keywords/>
  <dc:description/>
  <cp:lastModifiedBy>Користувач Windows</cp:lastModifiedBy>
  <cp:revision>9</cp:revision>
  <cp:lastPrinted>2021-04-15T07:42:00Z</cp:lastPrinted>
  <dcterms:created xsi:type="dcterms:W3CDTF">2021-04-14T11:43:00Z</dcterms:created>
  <dcterms:modified xsi:type="dcterms:W3CDTF">2021-05-18T08:39:00Z</dcterms:modified>
</cp:coreProperties>
</file>