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2D" w:rsidRDefault="000E7894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>Додаток №2</w:t>
      </w:r>
    </w:p>
    <w:p w:rsidR="000E7894" w:rsidRDefault="00927C12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>іжинської</w:t>
      </w:r>
    </w:p>
    <w:p w:rsidR="00927C12" w:rsidRPr="00700C53" w:rsidRDefault="00927C12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міської ради </w:t>
      </w:r>
      <w:r w:rsidRPr="00700C5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0C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0B62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3-4/2020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 w:rsidR="00026B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24.12.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 р.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МІСЬКА   ЦІЛЬОВА  ПРОГРАМА   З   ВИКОНАННЯ   ВЛАСНИХ ПОВНОВАЖЕНЬ   НІЖИНСЬКОЇ   МІСЬКОЇ   РАДИ НА 2021 рік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І. Паспорт   </w:t>
      </w:r>
    </w:p>
    <w:tbl>
      <w:tblPr>
        <w:tblW w:w="9751" w:type="dxa"/>
        <w:tblInd w:w="-2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/>
      </w:tblPr>
      <w:tblGrid>
        <w:gridCol w:w="776"/>
        <w:gridCol w:w="4001"/>
        <w:gridCol w:w="4974"/>
      </w:tblGrid>
      <w:tr w:rsidR="00927C12" w:rsidRPr="000B621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0B621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Законодавча база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Бюджетний кодекс,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Цивільний Кодекс, Кодекс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«Про місцеве самоврядування в Україні»,</w:t>
            </w:r>
          </w:p>
          <w:p w:rsidR="00927C12" w:rsidRPr="00700C53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“Про інформацію”,  «Про порядок висвітлення діяльності органів державної влади та органів місцевого самоврядування в Україні засобами масової інформації», “Про реформування державних і комунальних друкованих засобів масової інформації”,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«Про статус депутатів місцевих рад»,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 «Про службу в органах місцевого самоврядування»,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Статути Асоціації міст України та громад, Чернігівської обласної Асоціації «Ради Чернігівщини», Асоціації “Енергоефективні міста України”,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Наказ Головного управління державної служби України від 29.12.2009р. №406 «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 затвердження Типових професійно-кваліфікаційних характеристик посадових осіб місцевого самоврядування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», рішення виконавчого комітету «Про укладення Меморандуму про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співпрацю між Виконавчим комітетом Ніжинської міської ради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та Ніжинським державним університетом імені М. Гоголя», «Про укладення Меморандуму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про співпрацю між виконавчим комітетом Ніжинської міської ради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та Національною академією державного управління при Президентові України» від 01.12.2016р.№349.</w:t>
            </w:r>
          </w:p>
        </w:tc>
      </w:tr>
      <w:tr w:rsidR="00927C12" w:rsidRPr="000B6217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Розробник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Виконавчий комітет,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фінансове управління, управління культури і туризму,управління освіти, УЖКГтаБ,  відділ з питань фізичної культури та спорту,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комунальні підприємства, установи, організації міста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Відповідальні виконавці програми (учасники програми 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Виконавчий комітет,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Фінансове управління, управління культури і туризму,управління освіти, УЖКГтаБ,  відділ з питань фізичної культури та спорту,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комунальні підприємства,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lastRenderedPageBreak/>
              <w:t>установи, організації міста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6.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Термін реалізації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2021 р.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Етапи виконання програми</w:t>
            </w:r>
          </w:p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(для довгострокових програм)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927C12" w:rsidRPr="00700C53" w:rsidTr="000A423F">
        <w:trPr>
          <w:trHeight w:val="1271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 </w:t>
            </w:r>
            <w:r w:rsidRPr="00700C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zh-CN"/>
              </w:rPr>
              <w:t>тому числі: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1E5CEE" w:rsidP="00FC2B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71</w:t>
            </w:r>
            <w:r w:rsidR="00382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1</w:t>
            </w:r>
            <w:r w:rsidR="00927C12"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000,00 грн. 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Кошти  бюджету Ніжинської міської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територіальної громади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1E5CEE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71</w:t>
            </w:r>
            <w:r w:rsidR="00382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  <w:r w:rsidR="00927C12"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000,00 грн.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Кошти  інших джерел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</w:tbl>
    <w:p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ІІ.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Проблема,  на  розв’язання  якої  спрямована  програма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Разом з тим, організація навчання посадових осіб органів місцевого самоврядування ускладнюється: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неналежною фінансовою базою місцевого самоврядування, що перешкоджає залученню до роботи в органах місцевого самоврядування топ-менеджерів з сучасною освітою та відповідним досвідом;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неналежною взаємодією органів влади з неурядовими організаціями та громадськістю, зокрема у наданні соціальних послуг населенню;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недосконалістю українського законодавства, що регламентує питання навчання депутатів та працівників органів місцевого самоврядування, зокрема з питань ресурсного забезпечення процесу навчання;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недостатньою координацією діяльності різних установ та організацій, що займаються навчанням посадових осіб органів місцевого самоврядування, а також недостатнім забезпеченням навчального процесу належними навчальними програмами, літературою та методичними матеріалами.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  умовах сучасності важливою необхідністю є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інформування населення  громади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.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Необхідність комплексної системи заходів по виконанню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державної регуляторної політики у сфері господарської діяльності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забезпечує виконання чинного законодавства України: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Кодексу України «Про адміністративні правопорушення»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законів України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«Про засади державної регуляторної політики у сфері господарської діяльності»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підвищує ефективність управлінських рішень. 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ргани самоорганізації населення є однією з форм участі членів територіальної громади у вирішенні окремих питань місцевого значення. Вони мають значний потенціал та великі можливості для  сприяння розвитку громади, залучення мешканців мікрорайонів до розвязання  проблем територіальної громади, зокрема, проблем житлово-комунального господарства. 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ІІІ. </w:t>
      </w: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uk-UA" w:eastAsia="zh-CN"/>
        </w:rPr>
        <w:t>Мета програми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Головною метою програми є: 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700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адміністративної комісії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забезпечення виконання  Тимчасового положення про порядок передачі громадянами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житла, що перебуває у їх приватній власності, органу, який здійснює поліпшення житлових умов;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«Енергоефективні міста України»,  становлення, розвиток і зміцнення </w:t>
      </w:r>
      <w:hyperlink r:id="rId4">
        <w:r w:rsidRPr="00700C53">
          <w:rPr>
            <w:rStyle w:val="-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uk-UA" w:eastAsia="zh-CN"/>
          </w:rPr>
          <w:t>місцевого самоврядування в Україні</w:t>
        </w:r>
      </w:hyperlink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формування комплексу заходів по підвищенні професійних компетентностей посадових осіб місцевого самоврядування та депутатів Ніжинської міської ради;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 забезпечення на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друкованих засобів масової інформації та послуг на   рекламних конструкціях (Сітілайтах), інформаційних стендах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в аудіовізуальних засобах масової інформації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інших засобах для розміщення інформації;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сприяння   створенню та діяльності на території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громади.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ІV.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Шляхами розв’язання проблеми є: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забезпечення виконання завдань Асоціації міст України та громад, Чернігівської обласної Асоціації «Ради Чернігівщини», Асоціації «Енергоефективні міста України»  відповідно до укладених угод;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укладання договорів (угод) із фахівцями Національної академії державного управління при Президентові України та іншими експертами, тренерами, коучами щодо отримання освітніх та інших послуг,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забезпечення матеріально-технічною базою (матеріальними та нематеріальними активами, тощо) для роботи депутатів Ніжинської міської ради;</w:t>
      </w:r>
    </w:p>
    <w:p w:rsidR="00927C12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</w:t>
      </w:r>
      <w:bookmarkStart w:id="0" w:name="__DdeLink__871_985419948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забезпечення  оплати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0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оплати  друкованих площ та оплати оренди рекламних конструкцій (Сітілайтів),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друкованих засобів масової інформації,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аудіовізуальних засобах масової інформації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та інших засобів для розміщення інформації;</w:t>
      </w:r>
    </w:p>
    <w:p w:rsidR="0055486B" w:rsidRPr="00700C53" w:rsidRDefault="0055486B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здійснюється за принципами прозорості, відкритості, доступності, законності   шляхом проведення  конкурсних процедур згідно чинного законодавства;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органів самоорганізації населення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по  результатах роботи  за  рік (вважати  таким, що  втратив  чинність  пункт 6 даного Положення).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Фінансування Програми здійснюється за рахунок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Видатки на виконання Програми передбачаються при формуванні показників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виходячи з реальних можливостей у бюджетному періоді.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Програма виконується протягом 2021 року згідно додатку.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V. Перелік завдань програми  та результативні показники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 w:eastAsia="zh-CN"/>
        </w:rPr>
        <w:t xml:space="preserve">Завдання № 1.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Технічне обслуговування, матеріально-технічне забезпечення адміністративної комісії, оприлюднення  регуляторних актів в засобах масової інформації,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реєстрація права власності на житло за територіальною громадою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Завдання № 2.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“Енергоефективні міста України”.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3.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Підвищення рівня компетентностей посадових осіб місцевого самоврядування та депутатів міської ради, вдосконалення організації їхньої роботи,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ефективності управлінських рішень, забезпечення матеріально-технічною базою.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4.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</w:t>
      </w:r>
      <w:bookmarkStart w:id="1" w:name="__DdeLink__1711_985419948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щодо оплати друкованих площ у друкованих  засобах масової інформації</w:t>
      </w:r>
      <w:bookmarkEnd w:id="1"/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аудіовізуальних засобах масової інформації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 послуг оренди рекламних конструкцій (Сітілайтів),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інших засобів для розміщення інформації.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5. </w:t>
      </w:r>
      <w:bookmarkStart w:id="2" w:name="__DdeLink__731_2075881422"/>
      <w:bookmarkEnd w:id="2"/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Фінансова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підтримка діяльності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органів самоорганізації населення.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</w:p>
    <w:p w:rsidR="00927C12" w:rsidRPr="00700C53" w:rsidRDefault="00927C12" w:rsidP="00927C12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VІ.Напрями діяльності та заходи програми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“Енергоефективні міста України”;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проведення семінарів фахівцями Національної академії державного управління при Президентові України відповідно до узгодженого плану навчань посадових осіб місцевого самоврядування та депутатів міської ради  на 2021 рік та укладених угод (договорів);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 друк власних наукових розробок, результатів проведених досліджень та соціологічних опитувань, тиражування бюлетенів для голосування при проведенні соціологічних опитувань;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залучення до процесу прийняття рішень експертів, коучів, тренерів;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укладання угод з надавачами послуг щодо оплати площ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друкованих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аудіовізуальних засобах масової інформації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оплат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послуг оренди рекламних конструкцій (Сітілайтів),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інших засобів для розміщення інформації.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Виконання програми забезпечується відповідальними виконавцями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 урахуванням його можливостей у  бюджетному періоді в межах асигнувань, передбачених  на Програму.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700C5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>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метою підвищення ефективності </w:t>
      </w:r>
      <w:r w:rsidRPr="00700C5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>використання бюджетних коштів, в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Головні розпорядники звітують про виконання Програми на пленарному засіданні сесії Ніжинської міської ради за підсумками року.</w:t>
      </w:r>
    </w:p>
    <w:p w:rsidR="00927C12" w:rsidRPr="00700C53" w:rsidRDefault="00927C12" w:rsidP="00927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Міський голова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Олександр 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Кодола</w:t>
      </w:r>
    </w:p>
    <w:p w:rsidR="00927C12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026B2D" w:rsidRDefault="00026B2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026B2D" w:rsidRDefault="00026B2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927C12" w:rsidRPr="007E33C6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927C12" w:rsidRPr="007E33C6" w:rsidRDefault="00927C12" w:rsidP="00927C12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lastRenderedPageBreak/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Додаток 1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</w:p>
    <w:p w:rsidR="00927C12" w:rsidRPr="007E33C6" w:rsidRDefault="00927C12" w:rsidP="00927C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hAnsi="Times New Roman" w:cs="Times New Roman"/>
          <w:sz w:val="20"/>
          <w:szCs w:val="20"/>
          <w:lang w:val="uk-UA"/>
        </w:rPr>
        <w:t>Фінансове забезпечення програми</w:t>
      </w:r>
    </w:p>
    <w:tbl>
      <w:tblPr>
        <w:tblW w:w="9903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5020"/>
        <w:gridCol w:w="776"/>
        <w:gridCol w:w="1206"/>
        <w:gridCol w:w="2901"/>
      </w:tblGrid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</w:tr>
      <w:tr w:rsidR="00927C12" w:rsidRPr="007E33C6" w:rsidTr="000A423F">
        <w:trPr>
          <w:trHeight w:val="30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1  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конвертів, марок тощо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rPr>
          <w:trHeight w:val="776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Опублікування оголошень, о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прилюднення регуляторних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актів,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видатки на реєстрацію права власності на житло за територіальною громадою в органах БТІ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2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rPr>
          <w:trHeight w:val="267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3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 по навчанню (проведення семінарів, укладання угод); послуги експертів, коучів, тренерів; послуги з  д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власних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наукових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розробок, результатів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проведених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досліджень та соціологічних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опитувань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тиражування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бюлетенів для голосування при проведенні соціологічнихопитувань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4</w:t>
            </w:r>
          </w:p>
        </w:tc>
      </w:tr>
      <w:tr w:rsidR="00927C12" w:rsidRPr="007E33C6" w:rsidTr="000A423F">
        <w:tc>
          <w:tcPr>
            <w:tcW w:w="50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ослуги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з висвітлення в друкованих засобах масової інформації,</w:t>
            </w:r>
            <w:r w:rsidR="00FC2BCD"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3823DF" w:rsidRPr="0038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в аудіовізуальних засобах масової інформації</w:t>
            </w:r>
            <w:r w:rsidR="00FC2BCD"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на  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рекламних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конструкці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ях 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(Сітілайт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), інформаційних стенд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інших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засоб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1E5CEE" w:rsidP="003823D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 комітет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культури і туризму</w:t>
            </w:r>
          </w:p>
        </w:tc>
      </w:tr>
      <w:tr w:rsidR="00927C12" w:rsidRPr="007E33C6" w:rsidTr="000A423F">
        <w:trPr>
          <w:trHeight w:val="529"/>
        </w:trPr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ід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ді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 з питань фізичної культури та спорту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УЖКГтаБ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Фінансове 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управління</w:t>
            </w:r>
          </w:p>
        </w:tc>
      </w:tr>
      <w:tr w:rsidR="00927C12" w:rsidRPr="007E33C6" w:rsidTr="000A423F">
        <w:tblPrEx>
          <w:tblCellMar>
            <w:left w:w="18" w:type="dxa"/>
          </w:tblCellMar>
        </w:tblPrEx>
        <w:trPr>
          <w:trHeight w:val="36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5</w:t>
            </w:r>
          </w:p>
        </w:tc>
      </w:tr>
      <w:tr w:rsidR="00927C12" w:rsidRPr="007E33C6" w:rsidTr="000A423F">
        <w:tblPrEx>
          <w:tblCellMar>
            <w:left w:w="18" w:type="dxa"/>
          </w:tblCellMar>
        </w:tblPrEx>
        <w:trPr>
          <w:trHeight w:val="517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Фінансова  підтримка діяльності 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органів самоорганізації населення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29 900,00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</w:p>
        </w:tc>
      </w:tr>
      <w:tr w:rsidR="00927C12" w:rsidRPr="007E33C6" w:rsidTr="000A423F">
        <w:tblPrEx>
          <w:tblCellMar>
            <w:left w:w="18" w:type="dxa"/>
          </w:tblCellMar>
        </w:tblPrEx>
        <w:trPr>
          <w:trHeight w:val="515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послуг з готівкового обслуговування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1E5CEE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  <w:r w:rsidR="003823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27C12" w:rsidRPr="007E33C6" w:rsidRDefault="00927C12" w:rsidP="0092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hAnsi="Times New Roman" w:cs="Times New Roman"/>
          <w:sz w:val="20"/>
          <w:szCs w:val="20"/>
        </w:rPr>
        <w:tab/>
      </w:r>
      <w:r w:rsidRPr="007E33C6">
        <w:rPr>
          <w:rFonts w:ascii="Times New Roman" w:hAnsi="Times New Roman" w:cs="Times New Roman"/>
          <w:sz w:val="20"/>
          <w:szCs w:val="20"/>
        </w:rPr>
        <w:tab/>
        <w:t xml:space="preserve">В т. ч. по 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>головних розпорядниках</w:t>
      </w:r>
    </w:p>
    <w:tbl>
      <w:tblPr>
        <w:tblW w:w="8725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/>
      </w:tblPr>
      <w:tblGrid>
        <w:gridCol w:w="6063"/>
        <w:gridCol w:w="1135"/>
        <w:gridCol w:w="1527"/>
      </w:tblGrid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КЕКВ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</w:t>
            </w: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ума</w:t>
            </w: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грн.</w:t>
            </w:r>
          </w:p>
        </w:tc>
      </w:tr>
      <w:tr w:rsidR="00927C12" w:rsidRPr="007E33C6" w:rsidTr="000A423F">
        <w:tc>
          <w:tcPr>
            <w:tcW w:w="6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 комітет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10 000,00</w:t>
            </w:r>
          </w:p>
        </w:tc>
      </w:tr>
      <w:tr w:rsidR="00927C12" w:rsidRPr="007E33C6" w:rsidTr="000A423F"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1E5CEE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544</w:t>
            </w:r>
            <w:r w:rsidR="00FC2B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</w:tr>
      <w:tr w:rsidR="00927C12" w:rsidRPr="007E33C6" w:rsidTr="000A423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29 900,00</w:t>
            </w:r>
          </w:p>
        </w:tc>
      </w:tr>
      <w:tr w:rsidR="00927C12" w:rsidRPr="007E33C6" w:rsidTr="000A423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по в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иконавч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ому 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1E5CEE" w:rsidP="003823D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67</w:t>
            </w:r>
            <w:r w:rsidR="000E78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927C12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культури і туризму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</w:tr>
      <w:tr w:rsidR="00927C12" w:rsidRPr="007E33C6" w:rsidTr="000A423F">
        <w:trPr>
          <w:trHeight w:val="330"/>
        </w:trPr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ід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іл з питань фізичної культури та спорту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Управління житлово-комунального господарства та будівництва (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УЖКГтаБ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Фінансове 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управління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1E5CEE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711</w:t>
            </w:r>
            <w:r w:rsidR="00927C12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</w:tbl>
    <w:p w:rsidR="00FB7083" w:rsidRPr="00927C12" w:rsidRDefault="00FB7083" w:rsidP="00927C12"/>
    <w:sectPr w:rsidR="00FB7083" w:rsidRPr="00927C12" w:rsidSect="00026B2D">
      <w:pgSz w:w="11906" w:h="16838"/>
      <w:pgMar w:top="709" w:right="707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7083"/>
    <w:rsid w:val="00026B2D"/>
    <w:rsid w:val="00097129"/>
    <w:rsid w:val="000B6217"/>
    <w:rsid w:val="000E7894"/>
    <w:rsid w:val="001B1E2A"/>
    <w:rsid w:val="001E5CEE"/>
    <w:rsid w:val="003823DF"/>
    <w:rsid w:val="00390452"/>
    <w:rsid w:val="004C4558"/>
    <w:rsid w:val="0055486B"/>
    <w:rsid w:val="005553C9"/>
    <w:rsid w:val="0070093E"/>
    <w:rsid w:val="0083777F"/>
    <w:rsid w:val="00927C12"/>
    <w:rsid w:val="00AE4F48"/>
    <w:rsid w:val="00C04A83"/>
    <w:rsid w:val="00C505F6"/>
    <w:rsid w:val="00D97396"/>
    <w:rsid w:val="00E33774"/>
    <w:rsid w:val="00E720E2"/>
    <w:rsid w:val="00FB7083"/>
    <w:rsid w:val="00FC20C3"/>
    <w:rsid w:val="00FC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19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E34D1"/>
    <w:rPr>
      <w:rFonts w:eastAsia="Times New Roman" w:cs="Times New Roman"/>
    </w:rPr>
  </w:style>
  <w:style w:type="character" w:customStyle="1" w:styleId="ListLabel2">
    <w:name w:val="ListLabel 2"/>
    <w:qFormat/>
    <w:rsid w:val="00FE34D1"/>
    <w:rPr>
      <w:rFonts w:eastAsia="Times New Roman" w:cs="Times New Roman"/>
    </w:rPr>
  </w:style>
  <w:style w:type="character" w:customStyle="1" w:styleId="ListLabel3">
    <w:name w:val="ListLabel 3"/>
    <w:qFormat/>
    <w:rsid w:val="00FE34D1"/>
    <w:rPr>
      <w:rFonts w:cs="Courier New"/>
    </w:rPr>
  </w:style>
  <w:style w:type="character" w:customStyle="1" w:styleId="ListLabel4">
    <w:name w:val="ListLabel 4"/>
    <w:qFormat/>
    <w:rsid w:val="00FE34D1"/>
    <w:rPr>
      <w:rFonts w:cs="Courier New"/>
    </w:rPr>
  </w:style>
  <w:style w:type="character" w:customStyle="1" w:styleId="ListLabel5">
    <w:name w:val="ListLabel 5"/>
    <w:qFormat/>
    <w:rsid w:val="00FE34D1"/>
    <w:rPr>
      <w:rFonts w:cs="Courier New"/>
    </w:rPr>
  </w:style>
  <w:style w:type="character" w:customStyle="1" w:styleId="ListLabel6">
    <w:name w:val="ListLabel 6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7">
    <w:name w:val="ListLabel 7"/>
    <w:qFormat/>
    <w:rsid w:val="00FE34D1"/>
    <w:rPr>
      <w:rFonts w:cs="Times New Roman"/>
    </w:rPr>
  </w:style>
  <w:style w:type="character" w:customStyle="1" w:styleId="ListLabel8">
    <w:name w:val="ListLabel 8"/>
    <w:qFormat/>
    <w:rsid w:val="00FE34D1"/>
    <w:rPr>
      <w:rFonts w:cs="Times New Roman"/>
    </w:rPr>
  </w:style>
  <w:style w:type="character" w:customStyle="1" w:styleId="ListLabel9">
    <w:name w:val="ListLabel 9"/>
    <w:qFormat/>
    <w:rsid w:val="00FE34D1"/>
    <w:rPr>
      <w:rFonts w:cs="Times New Roman"/>
    </w:rPr>
  </w:style>
  <w:style w:type="character" w:customStyle="1" w:styleId="ListLabel10">
    <w:name w:val="ListLabel 10"/>
    <w:qFormat/>
    <w:rsid w:val="00FE34D1"/>
    <w:rPr>
      <w:rFonts w:cs="Times New Roman"/>
    </w:rPr>
  </w:style>
  <w:style w:type="character" w:customStyle="1" w:styleId="ListLabel11">
    <w:name w:val="ListLabel 11"/>
    <w:qFormat/>
    <w:rsid w:val="00FE34D1"/>
    <w:rPr>
      <w:rFonts w:cs="Times New Roman"/>
    </w:rPr>
  </w:style>
  <w:style w:type="character" w:customStyle="1" w:styleId="ListLabel12">
    <w:name w:val="ListLabel 12"/>
    <w:qFormat/>
    <w:rsid w:val="00FE34D1"/>
    <w:rPr>
      <w:rFonts w:cs="Times New Roman"/>
    </w:rPr>
  </w:style>
  <w:style w:type="character" w:customStyle="1" w:styleId="ListLabel13">
    <w:name w:val="ListLabel 13"/>
    <w:qFormat/>
    <w:rsid w:val="00FE34D1"/>
    <w:rPr>
      <w:rFonts w:cs="Times New Roman"/>
    </w:rPr>
  </w:style>
  <w:style w:type="character" w:customStyle="1" w:styleId="ListLabel14">
    <w:name w:val="ListLabel 14"/>
    <w:qFormat/>
    <w:rsid w:val="00FE34D1"/>
    <w:rPr>
      <w:rFonts w:cs="Times New Roman"/>
    </w:rPr>
  </w:style>
  <w:style w:type="character" w:customStyle="1" w:styleId="-">
    <w:name w:val="Интернет-ссылка"/>
    <w:rsid w:val="00FE34D1"/>
    <w:rPr>
      <w:color w:val="000080"/>
      <w:u w:val="single"/>
    </w:rPr>
  </w:style>
  <w:style w:type="character" w:customStyle="1" w:styleId="ListLabel15">
    <w:name w:val="ListLabel 15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16">
    <w:name w:val="ListLabel 16"/>
    <w:qFormat/>
    <w:rsid w:val="00FE34D1"/>
    <w:rPr>
      <w:rFonts w:cs="Times New Roman"/>
    </w:rPr>
  </w:style>
  <w:style w:type="character" w:customStyle="1" w:styleId="ListLabel17">
    <w:name w:val="ListLabel 17"/>
    <w:qFormat/>
    <w:rsid w:val="00FE34D1"/>
    <w:rPr>
      <w:rFonts w:cs="Times New Roman"/>
    </w:rPr>
  </w:style>
  <w:style w:type="character" w:customStyle="1" w:styleId="ListLabel18">
    <w:name w:val="ListLabel 18"/>
    <w:qFormat/>
    <w:rsid w:val="00FE34D1"/>
    <w:rPr>
      <w:rFonts w:cs="Times New Roman"/>
    </w:rPr>
  </w:style>
  <w:style w:type="character" w:customStyle="1" w:styleId="ListLabel19">
    <w:name w:val="ListLabel 19"/>
    <w:qFormat/>
    <w:rsid w:val="00FE34D1"/>
    <w:rPr>
      <w:rFonts w:cs="Times New Roman"/>
    </w:rPr>
  </w:style>
  <w:style w:type="character" w:customStyle="1" w:styleId="ListLabel20">
    <w:name w:val="ListLabel 20"/>
    <w:qFormat/>
    <w:rsid w:val="00FE34D1"/>
    <w:rPr>
      <w:rFonts w:cs="Times New Roman"/>
    </w:rPr>
  </w:style>
  <w:style w:type="character" w:customStyle="1" w:styleId="ListLabel21">
    <w:name w:val="ListLabel 21"/>
    <w:qFormat/>
    <w:rsid w:val="00FE34D1"/>
    <w:rPr>
      <w:rFonts w:cs="Times New Roman"/>
    </w:rPr>
  </w:style>
  <w:style w:type="character" w:customStyle="1" w:styleId="ListLabel22">
    <w:name w:val="ListLabel 22"/>
    <w:qFormat/>
    <w:rsid w:val="00FE34D1"/>
    <w:rPr>
      <w:rFonts w:cs="Times New Roman"/>
    </w:rPr>
  </w:style>
  <w:style w:type="character" w:customStyle="1" w:styleId="ListLabel23">
    <w:name w:val="ListLabel 23"/>
    <w:qFormat/>
    <w:rsid w:val="00FE34D1"/>
    <w:rPr>
      <w:rFonts w:cs="Times New Roman"/>
    </w:rPr>
  </w:style>
  <w:style w:type="character" w:customStyle="1" w:styleId="ListLabel24">
    <w:name w:val="ListLabel 24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FE34D1"/>
    <w:rPr>
      <w:rFonts w:cs="Times New Roman"/>
    </w:rPr>
  </w:style>
  <w:style w:type="character" w:customStyle="1" w:styleId="ListLabel26">
    <w:name w:val="ListLabel 26"/>
    <w:qFormat/>
    <w:rsid w:val="00FE34D1"/>
    <w:rPr>
      <w:rFonts w:cs="Times New Roman"/>
    </w:rPr>
  </w:style>
  <w:style w:type="character" w:customStyle="1" w:styleId="ListLabel27">
    <w:name w:val="ListLabel 27"/>
    <w:qFormat/>
    <w:rsid w:val="00FE34D1"/>
    <w:rPr>
      <w:rFonts w:cs="Times New Roman"/>
    </w:rPr>
  </w:style>
  <w:style w:type="character" w:customStyle="1" w:styleId="ListLabel28">
    <w:name w:val="ListLabel 28"/>
    <w:qFormat/>
    <w:rsid w:val="00FE34D1"/>
    <w:rPr>
      <w:rFonts w:cs="Times New Roman"/>
    </w:rPr>
  </w:style>
  <w:style w:type="character" w:customStyle="1" w:styleId="ListLabel29">
    <w:name w:val="ListLabel 29"/>
    <w:qFormat/>
    <w:rsid w:val="00FE34D1"/>
    <w:rPr>
      <w:rFonts w:cs="Times New Roman"/>
    </w:rPr>
  </w:style>
  <w:style w:type="character" w:customStyle="1" w:styleId="ListLabel30">
    <w:name w:val="ListLabel 30"/>
    <w:qFormat/>
    <w:rsid w:val="00FE34D1"/>
    <w:rPr>
      <w:rFonts w:cs="Times New Roman"/>
    </w:rPr>
  </w:style>
  <w:style w:type="character" w:customStyle="1" w:styleId="ListLabel31">
    <w:name w:val="ListLabel 31"/>
    <w:qFormat/>
    <w:rsid w:val="00FE34D1"/>
    <w:rPr>
      <w:rFonts w:cs="Times New Roman"/>
    </w:rPr>
  </w:style>
  <w:style w:type="character" w:customStyle="1" w:styleId="ListLabel32">
    <w:name w:val="ListLabel 32"/>
    <w:qFormat/>
    <w:rsid w:val="00FE34D1"/>
    <w:rPr>
      <w:rFonts w:cs="Times New Roman"/>
    </w:rPr>
  </w:style>
  <w:style w:type="character" w:customStyle="1" w:styleId="ListLabel33">
    <w:name w:val="ListLabel 33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FE34D1"/>
    <w:rPr>
      <w:rFonts w:cs="Times New Roman"/>
    </w:rPr>
  </w:style>
  <w:style w:type="character" w:customStyle="1" w:styleId="ListLabel35">
    <w:name w:val="ListLabel 35"/>
    <w:qFormat/>
    <w:rsid w:val="00FE34D1"/>
    <w:rPr>
      <w:rFonts w:cs="Times New Roman"/>
    </w:rPr>
  </w:style>
  <w:style w:type="character" w:customStyle="1" w:styleId="ListLabel36">
    <w:name w:val="ListLabel 36"/>
    <w:qFormat/>
    <w:rsid w:val="00FE34D1"/>
    <w:rPr>
      <w:rFonts w:cs="Times New Roman"/>
    </w:rPr>
  </w:style>
  <w:style w:type="character" w:customStyle="1" w:styleId="ListLabel37">
    <w:name w:val="ListLabel 37"/>
    <w:qFormat/>
    <w:rsid w:val="00FE34D1"/>
    <w:rPr>
      <w:rFonts w:cs="Times New Roman"/>
    </w:rPr>
  </w:style>
  <w:style w:type="character" w:customStyle="1" w:styleId="ListLabel38">
    <w:name w:val="ListLabel 38"/>
    <w:qFormat/>
    <w:rsid w:val="00FE34D1"/>
    <w:rPr>
      <w:rFonts w:cs="Times New Roman"/>
    </w:rPr>
  </w:style>
  <w:style w:type="character" w:customStyle="1" w:styleId="ListLabel39">
    <w:name w:val="ListLabel 39"/>
    <w:qFormat/>
    <w:rsid w:val="00FE34D1"/>
    <w:rPr>
      <w:rFonts w:cs="Times New Roman"/>
    </w:rPr>
  </w:style>
  <w:style w:type="character" w:customStyle="1" w:styleId="ListLabel40">
    <w:name w:val="ListLabel 40"/>
    <w:qFormat/>
    <w:rsid w:val="00FE34D1"/>
    <w:rPr>
      <w:rFonts w:cs="Times New Roman"/>
    </w:rPr>
  </w:style>
  <w:style w:type="character" w:customStyle="1" w:styleId="ListLabel41">
    <w:name w:val="ListLabel 41"/>
    <w:qFormat/>
    <w:rsid w:val="00FE34D1"/>
    <w:rPr>
      <w:rFonts w:cs="Times New Roman"/>
    </w:rPr>
  </w:style>
  <w:style w:type="character" w:customStyle="1" w:styleId="ListLabel42">
    <w:name w:val="ListLabel 42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43">
    <w:name w:val="ListLabel 43"/>
    <w:qFormat/>
    <w:rsid w:val="00FE34D1"/>
    <w:rPr>
      <w:rFonts w:cs="Times New Roman"/>
    </w:rPr>
  </w:style>
  <w:style w:type="character" w:customStyle="1" w:styleId="ListLabel44">
    <w:name w:val="ListLabel 44"/>
    <w:qFormat/>
    <w:rsid w:val="00FE34D1"/>
    <w:rPr>
      <w:rFonts w:cs="Times New Roman"/>
    </w:rPr>
  </w:style>
  <w:style w:type="character" w:customStyle="1" w:styleId="ListLabel45">
    <w:name w:val="ListLabel 45"/>
    <w:qFormat/>
    <w:rsid w:val="00FE34D1"/>
    <w:rPr>
      <w:rFonts w:cs="Times New Roman"/>
    </w:rPr>
  </w:style>
  <w:style w:type="character" w:customStyle="1" w:styleId="ListLabel46">
    <w:name w:val="ListLabel 46"/>
    <w:qFormat/>
    <w:rsid w:val="00FE34D1"/>
    <w:rPr>
      <w:rFonts w:cs="Times New Roman"/>
    </w:rPr>
  </w:style>
  <w:style w:type="character" w:customStyle="1" w:styleId="ListLabel47">
    <w:name w:val="ListLabel 47"/>
    <w:qFormat/>
    <w:rsid w:val="00FE34D1"/>
    <w:rPr>
      <w:rFonts w:cs="Times New Roman"/>
    </w:rPr>
  </w:style>
  <w:style w:type="character" w:customStyle="1" w:styleId="ListLabel48">
    <w:name w:val="ListLabel 48"/>
    <w:qFormat/>
    <w:rsid w:val="00FE34D1"/>
    <w:rPr>
      <w:rFonts w:cs="Times New Roman"/>
    </w:rPr>
  </w:style>
  <w:style w:type="character" w:customStyle="1" w:styleId="ListLabel49">
    <w:name w:val="ListLabel 49"/>
    <w:qFormat/>
    <w:rsid w:val="00FE34D1"/>
    <w:rPr>
      <w:rFonts w:cs="Times New Roman"/>
    </w:rPr>
  </w:style>
  <w:style w:type="character" w:customStyle="1" w:styleId="ListLabel50">
    <w:name w:val="ListLabel 50"/>
    <w:qFormat/>
    <w:rsid w:val="00FE34D1"/>
    <w:rPr>
      <w:rFonts w:cs="Times New Roman"/>
    </w:rPr>
  </w:style>
  <w:style w:type="character" w:customStyle="1" w:styleId="ListLabel51">
    <w:name w:val="ListLabel 51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52">
    <w:name w:val="ListLabel 52"/>
    <w:qFormat/>
    <w:rsid w:val="00FE34D1"/>
    <w:rPr>
      <w:rFonts w:cs="Times New Roman"/>
    </w:rPr>
  </w:style>
  <w:style w:type="character" w:customStyle="1" w:styleId="ListLabel53">
    <w:name w:val="ListLabel 53"/>
    <w:qFormat/>
    <w:rsid w:val="00FE34D1"/>
    <w:rPr>
      <w:rFonts w:cs="Times New Roman"/>
    </w:rPr>
  </w:style>
  <w:style w:type="character" w:customStyle="1" w:styleId="ListLabel54">
    <w:name w:val="ListLabel 54"/>
    <w:qFormat/>
    <w:rsid w:val="00FE34D1"/>
    <w:rPr>
      <w:rFonts w:cs="Times New Roman"/>
    </w:rPr>
  </w:style>
  <w:style w:type="character" w:customStyle="1" w:styleId="ListLabel55">
    <w:name w:val="ListLabel 55"/>
    <w:qFormat/>
    <w:rsid w:val="00FE34D1"/>
    <w:rPr>
      <w:rFonts w:cs="Times New Roman"/>
    </w:rPr>
  </w:style>
  <w:style w:type="character" w:customStyle="1" w:styleId="ListLabel56">
    <w:name w:val="ListLabel 56"/>
    <w:qFormat/>
    <w:rsid w:val="00FE34D1"/>
    <w:rPr>
      <w:rFonts w:cs="Times New Roman"/>
    </w:rPr>
  </w:style>
  <w:style w:type="character" w:customStyle="1" w:styleId="ListLabel57">
    <w:name w:val="ListLabel 57"/>
    <w:qFormat/>
    <w:rsid w:val="00FE34D1"/>
    <w:rPr>
      <w:rFonts w:cs="Times New Roman"/>
    </w:rPr>
  </w:style>
  <w:style w:type="character" w:customStyle="1" w:styleId="ListLabel58">
    <w:name w:val="ListLabel 58"/>
    <w:qFormat/>
    <w:rsid w:val="00FE34D1"/>
    <w:rPr>
      <w:rFonts w:cs="Times New Roman"/>
    </w:rPr>
  </w:style>
  <w:style w:type="character" w:customStyle="1" w:styleId="ListLabel59">
    <w:name w:val="ListLabel 59"/>
    <w:qFormat/>
    <w:rsid w:val="00FE34D1"/>
    <w:rPr>
      <w:rFonts w:cs="Times New Roman"/>
    </w:rPr>
  </w:style>
  <w:style w:type="character" w:customStyle="1" w:styleId="ListLabel60">
    <w:name w:val="ListLabel 60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61">
    <w:name w:val="ListLabel 61"/>
    <w:qFormat/>
    <w:rsid w:val="00FE34D1"/>
    <w:rPr>
      <w:rFonts w:cs="Times New Roman"/>
    </w:rPr>
  </w:style>
  <w:style w:type="character" w:customStyle="1" w:styleId="ListLabel62">
    <w:name w:val="ListLabel 62"/>
    <w:qFormat/>
    <w:rsid w:val="00FE34D1"/>
    <w:rPr>
      <w:rFonts w:cs="Times New Roman"/>
    </w:rPr>
  </w:style>
  <w:style w:type="character" w:customStyle="1" w:styleId="ListLabel63">
    <w:name w:val="ListLabel 63"/>
    <w:qFormat/>
    <w:rsid w:val="00FE34D1"/>
    <w:rPr>
      <w:rFonts w:cs="Times New Roman"/>
    </w:rPr>
  </w:style>
  <w:style w:type="character" w:customStyle="1" w:styleId="ListLabel64">
    <w:name w:val="ListLabel 64"/>
    <w:qFormat/>
    <w:rsid w:val="00FE34D1"/>
    <w:rPr>
      <w:rFonts w:cs="Times New Roman"/>
    </w:rPr>
  </w:style>
  <w:style w:type="character" w:customStyle="1" w:styleId="ListLabel65">
    <w:name w:val="ListLabel 65"/>
    <w:qFormat/>
    <w:rsid w:val="00FE34D1"/>
    <w:rPr>
      <w:rFonts w:cs="Times New Roman"/>
    </w:rPr>
  </w:style>
  <w:style w:type="character" w:customStyle="1" w:styleId="ListLabel66">
    <w:name w:val="ListLabel 66"/>
    <w:qFormat/>
    <w:rsid w:val="00FE34D1"/>
    <w:rPr>
      <w:rFonts w:cs="Times New Roman"/>
    </w:rPr>
  </w:style>
  <w:style w:type="character" w:customStyle="1" w:styleId="ListLabel67">
    <w:name w:val="ListLabel 67"/>
    <w:qFormat/>
    <w:rsid w:val="00FE34D1"/>
    <w:rPr>
      <w:rFonts w:cs="Times New Roman"/>
    </w:rPr>
  </w:style>
  <w:style w:type="character" w:customStyle="1" w:styleId="ListLabel68">
    <w:name w:val="ListLabel 68"/>
    <w:qFormat/>
    <w:rsid w:val="00FE34D1"/>
    <w:rPr>
      <w:rFonts w:cs="Times New Roman"/>
    </w:rPr>
  </w:style>
  <w:style w:type="character" w:customStyle="1" w:styleId="ListLabel69">
    <w:name w:val="ListLabel 69"/>
    <w:qFormat/>
    <w:rsid w:val="00AE4F48"/>
    <w:rPr>
      <w:rFonts w:cs="Times New Roman"/>
      <w:b/>
      <w:sz w:val="24"/>
    </w:rPr>
  </w:style>
  <w:style w:type="character" w:customStyle="1" w:styleId="ListLabel70">
    <w:name w:val="ListLabel 70"/>
    <w:qFormat/>
    <w:rsid w:val="00AE4F48"/>
    <w:rPr>
      <w:rFonts w:cs="Times New Roman"/>
    </w:rPr>
  </w:style>
  <w:style w:type="character" w:customStyle="1" w:styleId="ListLabel71">
    <w:name w:val="ListLabel 71"/>
    <w:qFormat/>
    <w:rsid w:val="00AE4F48"/>
    <w:rPr>
      <w:rFonts w:cs="Times New Roman"/>
    </w:rPr>
  </w:style>
  <w:style w:type="character" w:customStyle="1" w:styleId="ListLabel72">
    <w:name w:val="ListLabel 72"/>
    <w:qFormat/>
    <w:rsid w:val="00AE4F48"/>
    <w:rPr>
      <w:rFonts w:cs="Times New Roman"/>
    </w:rPr>
  </w:style>
  <w:style w:type="character" w:customStyle="1" w:styleId="ListLabel73">
    <w:name w:val="ListLabel 73"/>
    <w:qFormat/>
    <w:rsid w:val="00AE4F48"/>
    <w:rPr>
      <w:rFonts w:cs="Times New Roman"/>
    </w:rPr>
  </w:style>
  <w:style w:type="character" w:customStyle="1" w:styleId="ListLabel74">
    <w:name w:val="ListLabel 74"/>
    <w:qFormat/>
    <w:rsid w:val="00AE4F48"/>
    <w:rPr>
      <w:rFonts w:cs="Times New Roman"/>
    </w:rPr>
  </w:style>
  <w:style w:type="character" w:customStyle="1" w:styleId="ListLabel75">
    <w:name w:val="ListLabel 75"/>
    <w:qFormat/>
    <w:rsid w:val="00AE4F48"/>
    <w:rPr>
      <w:rFonts w:cs="Times New Roman"/>
    </w:rPr>
  </w:style>
  <w:style w:type="character" w:customStyle="1" w:styleId="ListLabel76">
    <w:name w:val="ListLabel 76"/>
    <w:qFormat/>
    <w:rsid w:val="00AE4F48"/>
    <w:rPr>
      <w:rFonts w:cs="Times New Roman"/>
    </w:rPr>
  </w:style>
  <w:style w:type="character" w:customStyle="1" w:styleId="ListLabel77">
    <w:name w:val="ListLabel 77"/>
    <w:qFormat/>
    <w:rsid w:val="00AE4F48"/>
    <w:rPr>
      <w:rFonts w:cs="Times New Roman"/>
    </w:rPr>
  </w:style>
  <w:style w:type="paragraph" w:customStyle="1" w:styleId="1">
    <w:name w:val="Заголовок1"/>
    <w:basedOn w:val="a"/>
    <w:next w:val="a4"/>
    <w:qFormat/>
    <w:rsid w:val="00FE34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34D1"/>
    <w:pPr>
      <w:spacing w:after="140" w:line="288" w:lineRule="auto"/>
    </w:pPr>
  </w:style>
  <w:style w:type="paragraph" w:styleId="a5">
    <w:name w:val="List"/>
    <w:basedOn w:val="a4"/>
    <w:rsid w:val="00FE34D1"/>
    <w:rPr>
      <w:rFonts w:cs="Mangal"/>
    </w:rPr>
  </w:style>
  <w:style w:type="paragraph" w:styleId="a6">
    <w:name w:val="caption"/>
    <w:basedOn w:val="a"/>
    <w:qFormat/>
    <w:rsid w:val="00FE34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E34D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789E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FE34D1"/>
    <w:pPr>
      <w:suppressLineNumbers/>
    </w:pPr>
  </w:style>
  <w:style w:type="paragraph" w:customStyle="1" w:styleId="ab">
    <w:name w:val="Заголовок таблицы"/>
    <w:basedOn w:val="aa"/>
    <w:qFormat/>
    <w:rsid w:val="00FE34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Finvid12</cp:lastModifiedBy>
  <cp:revision>11</cp:revision>
  <cp:lastPrinted>2020-12-11T12:57:00Z</cp:lastPrinted>
  <dcterms:created xsi:type="dcterms:W3CDTF">2020-11-24T13:36:00Z</dcterms:created>
  <dcterms:modified xsi:type="dcterms:W3CDTF">2021-01-04T08:40:00Z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