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94" w:rsidRDefault="000E7894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Додаток №2</w:t>
      </w:r>
      <w:r w:rsidR="00927C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927C1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927C12" w:rsidRPr="00700C53">
        <w:rPr>
          <w:rFonts w:ascii="Times New Roman" w:hAnsi="Times New Roman" w:cs="Times New Roman"/>
          <w:sz w:val="24"/>
          <w:szCs w:val="24"/>
          <w:lang w:val="uk-UA"/>
        </w:rPr>
        <w:t>іжинської</w:t>
      </w:r>
    </w:p>
    <w:p w:rsidR="00927C12" w:rsidRPr="00700C53" w:rsidRDefault="00927C12" w:rsidP="000E7894">
      <w:pPr>
        <w:tabs>
          <w:tab w:val="left" w:pos="5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міської ради 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00C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5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№______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            2020 р.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-55"/>
        <w:jc w:val="center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МІСЬКА   ЦІЛЬОВА  ПРОГРАМА   З   ВИКОНАННЯ   ВЛАСНИХ ПОВНОВАЖЕНЬ   НІЖИНСЬКОЇ   МІСЬКОЇ   РАДИ НА 2021 рік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І. Паспорт   </w:t>
      </w:r>
    </w:p>
    <w:tbl>
      <w:tblPr>
        <w:tblW w:w="9751" w:type="dxa"/>
        <w:tblInd w:w="-2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/>
      </w:tblPr>
      <w:tblGrid>
        <w:gridCol w:w="776"/>
        <w:gridCol w:w="4001"/>
        <w:gridCol w:w="4974"/>
      </w:tblGrid>
      <w:tr w:rsidR="00927C12" w:rsidRPr="00FC2BCD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FC2BCD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Законодавча база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Бюджетний кодекс,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Цивільний Кодекс, Кодекс «Про адміністративні правопорушення», Тимчасове положення про порядок передачі громадянами житла, що перебуває у їх приватній власності органу, який здійснює поліпшення житлових умов Закони України «Про засади державної регуляторної політики у сфері господарської діяльності», «Про вибори депутатів місцевих рад та сільських, селищних, міських голів»,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  «Про місцеве самоврядування в Україні»,</w:t>
            </w:r>
          </w:p>
          <w:p w:rsidR="00927C12" w:rsidRPr="00700C53" w:rsidRDefault="00927C12" w:rsidP="000A423F">
            <w:pPr>
              <w:suppressAutoHyphens/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zh-CN"/>
              </w:rPr>
              <w:t xml:space="preserve">“Про інформацію”,  «Про порядок висвітлення діяльності органів державної влади та органів місцевого самоврядування в Україні засобами масової інформації», “Про реформування державних і комунальних друкованих засобів масової інформації”,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«Про статус депутатів місцевих рад»,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 «Про службу в органах місцевого самоврядування»,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Статути Асоціації міст України та громад, Чернігівської обласної Асоціації «Ради Чернігівщини», Асоціації “Енергоефективні міста України”,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Наказ Головного управління державної служби України від 29.12.2009р. №406 «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>Про затвердження Типових професійно-кваліфікаційних характеристик посадових осіб місцевого самоврядування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», рішення виконавчого комітету «Про укладення Меморандуму про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співпрацю між Виконавчим комітетом Ніжинської міської ради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та Ніжинським державним університетом імені М. Гоголя», «Про укладення Меморандуму </w:t>
            </w:r>
            <w:r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про співпрацю між виконавчим комітетом Ніжинської міської ради </w:t>
            </w: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та Національною академією державного управління при Президентові України» від 01.12.2016р.№349.</w:t>
            </w:r>
          </w:p>
        </w:tc>
      </w:tr>
      <w:tr w:rsidR="00927C12" w:rsidRPr="00FC2BCD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Розробник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Виконавчий комітет Ніжинської міської ради Чернігівської області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Головний розпорядник бюджетних коштів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комунальні підприємства, установи, організації міста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Відповідальні виконавці програми (учасники програми 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Виконавчий комітет, </w:t>
            </w:r>
            <w:r w:rsidRPr="0070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zh-CN"/>
              </w:rPr>
              <w:t xml:space="preserve">Фінансове управління, управління культури і туризму,управління освіти, УЖКГтаБ,  відділ з питань фізичної культури та спорту,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 xml:space="preserve"> комунальні підприємства, </w:t>
            </w:r>
            <w:r w:rsidRPr="00700C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lastRenderedPageBreak/>
              <w:t>установи, організації міста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lastRenderedPageBreak/>
              <w:t>6.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Термін реалізації програми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2021 р.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Етапи виконання програми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(для довгострокових програм)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927C12" w:rsidRPr="00700C53" w:rsidTr="000A423F">
        <w:trPr>
          <w:trHeight w:val="1271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у </w:t>
            </w:r>
            <w:r w:rsidRPr="00700C5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zh-CN"/>
              </w:rPr>
              <w:t>тому числі: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FC2BCD" w:rsidP="00FC2B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561</w:t>
            </w:r>
            <w:r w:rsidR="00927C12" w:rsidRPr="00700C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 xml:space="preserve"> 000,00 грн. 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7.1.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Кошти  бюджету Ніжинської міської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територіальної громади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FC2BCD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56</w:t>
            </w:r>
            <w:r w:rsidR="00927C12"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1 000,00 грн.</w:t>
            </w:r>
          </w:p>
        </w:tc>
      </w:tr>
      <w:tr w:rsidR="00927C12" w:rsidRPr="00700C53" w:rsidTr="000A423F"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7.2.</w:t>
            </w:r>
          </w:p>
        </w:tc>
        <w:tc>
          <w:tcPr>
            <w:tcW w:w="4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Кошти  інших джерел</w:t>
            </w:r>
          </w:p>
        </w:tc>
        <w:tc>
          <w:tcPr>
            <w:tcW w:w="4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27C12" w:rsidRPr="00700C53" w:rsidRDefault="00927C12" w:rsidP="000A42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700C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-</w:t>
            </w:r>
          </w:p>
        </w:tc>
      </w:tr>
    </w:tbl>
    <w:p w:rsidR="00927C12" w:rsidRPr="00700C53" w:rsidRDefault="00927C12" w:rsidP="00927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ІІ.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Проблема,  на  розв’язання  якої  спрямована  програма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Необхідною передумовою ефективного виконання власних та делегованих  повноважень місцевого самоврядування є належний професійний рівень посадових осіб та депутатів місцевих рад. Від ефективності їхньої діяльності та прийнятих ними рішень залежать умови життя мешканців конкретної територіальної громади. 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Разом з тим, організація навчання посадових осіб органів місцевого самоврядування ускладнюється: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фінансовою базою місцевого самоврядування, що перешкоджає залученню до роботи в органах місцевого самоврядування топ-менеджерів з сучасною освітою та відповідним досвідом;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неналежною взаємодією органів влади з неурядовими організаціями та громадськістю, зокрема у наданні соціальних послуг населенню;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недосконалістю українського законодавства, що регламентує питання навчання депутатів та працівників органів місцевого самоврядування, зокрема з питань ресурсного забезпечення процесу навчання;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недостатньою координацією діяльності різних установ та організацій, що займаються навчанням посадових осіб органів місцевого самоврядування, а також недостатнім забезпеченням навчального процесу належними навчальними програмами, літературою та методичними матеріалами.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 умовах сучасності важливою необхідністю є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інформування населення  громади щодо діяльності Ніжинської міської ради, виконавчого комітету та їх виконавчих органів, міського голови, комунальних підприємств, установ і організацій, що утримуються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Необхідність комплексної системи заходів по виконанню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державної регуляторної політики у сфері господарської діяльності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забезпечує виконання чинного законодавства України: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Кодексу України «Про адміністративні правопорушення»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законів України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«Про засади державної регуляторної політики у сфері господарської діяльності»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«Про вибори депутатів місцевих рад та сільських, селищних, міських голів», сприяння міжнародній співпраці і обміну досвідом,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підвищує ефективність управлінських рішень. 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ргани самоорганізації населення є однією з форм участі членів територіальної громади у вирішенні окремих питань місцевого значення. Вони мають значний потенціал та великі можливості для  сприяння розвитку громади, залучення мешканців мікрорайонів до розвязання  проблем територіальної громади, зокрема, проблем житлово-комунального господарства. 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ІІІ. </w:t>
      </w: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uk-UA" w:eastAsia="zh-CN"/>
        </w:rPr>
        <w:t>Мета програми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Головною метою програми є: 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забезпечення виконання  Кодексу України «Про адміністративні правопорушення», Цивільного Кодексу України</w:t>
      </w:r>
      <w:r w:rsidRPr="00700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Закону України «Про засади державної регуляторної політики у сфері господарської діяльності» в частині фінансування передбачених цими документами проектів регуляторних актів та їх невід’ємних складових  (повідомлень, аналізу, відстеження), оплата видатків на матеріально-технічне забезпечення  діяльності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адміністративної комісії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 тощо;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lastRenderedPageBreak/>
        <w:t>- забезпечення виконання  Тимчасового положення про порядок передачі громадянами житла, що перебуває у їх приватній власності, органу, який здійснює поліпшення житлових умов;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 забезпечення виконання завдань, передбачених Статутами та Основними напрямами діяльності Асоціації міст України та громад, Чернігівської обласної Асоціації «Ради Чернігівщини», Асоціації «Енергоефективні міста України»,  становлення, розвиток і зміцнення </w:t>
      </w:r>
      <w:hyperlink r:id="rId4">
        <w:r w:rsidRPr="00700C53">
          <w:rPr>
            <w:rStyle w:val="-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zh-CN"/>
          </w:rPr>
          <w:t>місцевого самоврядування в Україні</w:t>
        </w:r>
      </w:hyperlink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формування комплексу заходів по підвищенні професійних компетентностей посадових осіб місцевого самоврядування та депутатів Ніжинської міської ради;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забезпечення на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лежного висвітлення діяльності Ніжинської міської ради, та їх виконавчих органів, виконавчого комітету, міського голови, комунальних підприємств, установ і організацій через   послуги друкованих засобів масової інформації та послуг на   рекламних конструкціях (Сітілайтах), інформаційних стендах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на телебаченні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засобах для розміщення інформації;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сприяння   створенню та діяльності на території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органів самоорганізації населення, системному підвищенню їх спроможності самостійно виконувати власні і делеговані повноваження для покращання якості життя членів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- підвищення організаційних і ресурсних можливостей міської влади у здійсненні завдань соціально-економічного і культурного розвитку громади.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ІV. 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Обґрунтування шляхів  і  засобів  розв’язання  проблеми, обсягів та джерел фінансування, строки виконання програми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Шляхами розв’язання проблеми є: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технічне обслуговування та матеріально-технічне забезпечення адміністративної комісії, оприлюднення  регуляторних актів в засобах масової інформації згідно з вимогами вищезазначених законодавчих актів, видатки на реєстрацію права власності на житло за територіальною громадою в органах БТІ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 матеріально-технічне забезпечення  роботи виборчих комісій у міжвиборчий період;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забезпечення виконання завдань Асоціації міст України та громад, Чернігівської обласної Асоціації «Ради Чернігівщини», Асоціації «Енергоефективні міста України»  відповідно до укладених угод;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укладання договорів (угод) із фахівцями Національної академії державного управління при Президентові України та іншими експертами, тренерами, коучами щодо отримання освітніх та інших послуг,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забезпечення матеріально-технічною базою (матеріальними та нематеріальними активами, тощо) для роботи депутатів Ніжинської міської ради;</w:t>
      </w:r>
    </w:p>
    <w:p w:rsidR="00927C12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</w:t>
      </w:r>
      <w:bookmarkStart w:id="0" w:name="__DdeLink__871_985419948"/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забезпечення  оплати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 Ніжинської міської ради, її виконавчого комітету,  виконавчих органів, міського голови, комунальних підприємств, установ і організацій через укладання угод з надавачами послуг щодо</w:t>
      </w:r>
      <w:bookmarkEnd w:id="0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оплати  друкованих площ та оплати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, друкованих засобів масової інформації, телебачення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та інших засобів для розміщення інформації;</w:t>
      </w:r>
    </w:p>
    <w:p w:rsidR="0055486B" w:rsidRPr="00700C53" w:rsidRDefault="0055486B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плат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послуг з 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исвітлення діяльності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здійснюється за принципами прозорості, відкритості, доступності, законності   шляхом проведення  конкурсних процедур згідно чинного законодавства;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- надання фінансової підтримки   органам самоорганізації населення. Підтримка  надається  на  підставі Положення про порядок заохочення активу органів самоорганізації населення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 xml:space="preserve">  по  результатах роботи  за  рік (вважати  таким, що  втратив  чинність  пункт 6 даного Положення).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Фінансування Програми здійснюється за рахунок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Видатки на виконання Програми передбачаються при формуванні показників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виходячи з реальних можливостей у бюджетному періоді.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ind w:right="3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Програма виконується протягом 2021 року згідно додатку.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V. Перелік завдань програми  та результативні показники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zh-CN"/>
        </w:rPr>
        <w:lastRenderedPageBreak/>
        <w:t xml:space="preserve">Завдання № 1.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Технічне обслуговування, матеріально-технічне забезпечення адміністративної комісії, оприлюднення  регуляторних актів в засобах масової інформації, реєстрація права власності на житло за територіальною громадою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,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матеріально-технічне забезпечення  роботи виборчих комісій у міжвиборчий період.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zh-CN"/>
        </w:rPr>
        <w:t xml:space="preserve">Завдання № 2.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Своєчасне укладання  угод  та перерахування членських внесків  Асоціації міст України та громад, Чернігівській обласній Асоціації «Ради Чернігівщини», Асоціації “Енергоефективні міста України”.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3.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Підвищення рівня компетентностей посадових осіб місцевого самоврядування та депутатів міської ради, вдосконалення організації їхньої роботи,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ефективності управлінських рішень, забезпечення матеріально-технічною базою.</w:t>
      </w:r>
    </w:p>
    <w:p w:rsidR="00927C12" w:rsidRPr="00700C53" w:rsidRDefault="00927C12" w:rsidP="00927C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4. </w:t>
      </w:r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В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исвітлення діяльності Ніжинської міської ради, її виконавчого комітету та  виконавчих органів, міського голови, комунальних підприємств, установ і організацій через укладання угод з надавачами послуг </w:t>
      </w:r>
      <w:bookmarkStart w:id="1" w:name="__DdeLink__1711_985419948"/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щодо оплати друкованих площ у друкованих  засобах масової інформації</w:t>
      </w:r>
      <w:bookmarkEnd w:id="1"/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на телебаченні, 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оплати послуг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інших засобів для розміщення інформації.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Завдання № 5. </w:t>
      </w:r>
      <w:bookmarkStart w:id="2" w:name="__DdeLink__731_2075881422"/>
      <w:bookmarkEnd w:id="2"/>
      <w:r w:rsidRPr="00700C53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Фінансова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підтримка діяльності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органів самоорганізації населення.</w:t>
      </w:r>
      <w:r w:rsidRPr="00700C53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</w:p>
    <w:p w:rsidR="00927C12" w:rsidRPr="00700C53" w:rsidRDefault="00927C12" w:rsidP="00927C12">
      <w:pPr>
        <w:widowControl w:val="0"/>
        <w:tabs>
          <w:tab w:val="left" w:pos="10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>VІ.Напрями діяльності та заходи програми</w:t>
      </w:r>
    </w:p>
    <w:p w:rsidR="00927C12" w:rsidRPr="00700C53" w:rsidRDefault="00927C12" w:rsidP="00927C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Для реалізації визначених завдань передбачено здійснення ряду заходів у напрямках: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оприлюднення  регуляторних актів в засобах масової інформації, забезпечення  роботи виборчих комісій у міжвиборчий період, реєстрація права власності на житло за територіальною громадою,  технічне обслуговування та матеріально-технічне забезпечення роботи адміністративної комісії;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перерахування членських внесків згідно укладених угод Асоціації міст України та громад, Чернігівській обласній Асоціації «Ради Чернігівщини», Асоціації “Енергоефективні міста України”;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проведення семінарів фахівцями Національної академії державного управління при Президентові України відповідно до узгодженого плану навчань посадових осіб місцевого самоврядування та депутатів міської ради  на 2021 рік та укладених угод (договорів);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 друк власних наукових розробок, результатів проведених досліджень та соціологічних опитувань, тиражування бюлетенів для голосування при проведенні соціологічних опитувань;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- залучення до процесу прийняття рішень експертів, коучів, тренерів;</w:t>
      </w:r>
    </w:p>
    <w:p w:rsidR="00927C12" w:rsidRPr="00700C53" w:rsidRDefault="00927C12" w:rsidP="00927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- висвітлення діяльності органів місцевого самоврядування та публічного управління, 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укладання угод з надавачами послуг щодо оплати друкованих площ у друкованих  засобах масової інформації та оплати послуг оренди рекламних конструкцій (Сітілайтів),   інформаційних стендів</w:t>
      </w:r>
      <w:r w:rsidR="00FC2BC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телебаченні</w:t>
      </w:r>
      <w:r w:rsidRPr="00700C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інших засобів для розміщення інформації.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zh-CN"/>
        </w:rPr>
        <w:t xml:space="preserve">VІІ. Координація та контроль за ходом виконання  програми 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Виконання програми забезпечується відповідальними виконавцями за рахунок коштів бюджету Ніжинської міської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територіальної громади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 урахуванням його можливостей у  бюджетному періоді в межах асигнувань, передбачених  на Програму.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Безпосередній контроль за виконанням заходів і завдань програми, цільовим та ефективним використанням коштів  забезпечують  головні розпорядники бюджетних коштів</w:t>
      </w:r>
      <w:r w:rsidRPr="00700C53"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zh-CN"/>
        </w:rPr>
        <w:t>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метою підвищення ефективності </w:t>
      </w:r>
      <w:r w:rsidRPr="00700C53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>використання бюджетних коштів, в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ідповідальні виконавці  протягом року ініціюють внесення змін до Програми на підставі даних аналізу щодо стану її виконання 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Звіт про виконання Програми щоквартально до 6-го числа місяця, наступного за звітним кварталом, головними розпорядниками бюджетних коштів надається фінансовому управлінню Ніжинської міської ради.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Головні розпорядники звітують про виконання Програми на пленарному засіданні сесії Ніжинської міської ради за підсумками року.</w:t>
      </w:r>
    </w:p>
    <w:p w:rsidR="00927C12" w:rsidRPr="00700C53" w:rsidRDefault="00927C12" w:rsidP="00927C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zh-CN"/>
        </w:rPr>
      </w:pP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Міський голова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Олександр  </w:t>
      </w:r>
      <w:r w:rsidRPr="00700C5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Кодола</w:t>
      </w:r>
    </w:p>
    <w:p w:rsidR="00927C12" w:rsidRPr="00700C53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927C12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927C12" w:rsidRPr="007E33C6" w:rsidRDefault="00927C12" w:rsidP="00927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927C12" w:rsidRPr="007E33C6" w:rsidRDefault="00927C12" w:rsidP="00927C12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  <w:t xml:space="preserve"> Додаток 1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</w:t>
      </w:r>
    </w:p>
    <w:p w:rsidR="00927C12" w:rsidRPr="007E33C6" w:rsidRDefault="00927C12" w:rsidP="00927C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  <w:lang w:val="uk-UA"/>
        </w:rPr>
        <w:t>Фінансове забезпечення програми</w:t>
      </w:r>
    </w:p>
    <w:tbl>
      <w:tblPr>
        <w:tblW w:w="9903" w:type="dxa"/>
        <w:tblInd w:w="-2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5020"/>
        <w:gridCol w:w="776"/>
        <w:gridCol w:w="1206"/>
        <w:gridCol w:w="2901"/>
      </w:tblGrid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Сума, грн.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</w:tr>
      <w:tr w:rsidR="00927C12" w:rsidRPr="007E33C6" w:rsidTr="000A423F">
        <w:trPr>
          <w:trHeight w:val="30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№ 1  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конвертів, марок тощо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rPr>
          <w:trHeight w:val="776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Опублікування оголошень, о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прилюднення регуляторних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актів,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видатки на реєстрацію права власності на житло за територіальною громадою в органах БТІ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2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Сплата членських внесків до асоціацій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rPr>
          <w:trHeight w:val="267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3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по навчанню (проведення семінарів, укладання угод); послуги експертів, коучів, тренерів; послуги з  д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рук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власних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розробок, результатів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проведених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досліджень та соціологічних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опитувань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тиражування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sz w:val="20"/>
                <w:szCs w:val="20"/>
              </w:rPr>
              <w:t>бюлетенів для голосування при проведенні соціологічнихопитувань</w:t>
            </w: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4</w:t>
            </w:r>
          </w:p>
        </w:tc>
      </w:tr>
      <w:tr w:rsidR="00927C12" w:rsidRPr="007E33C6" w:rsidTr="000A423F">
        <w:tc>
          <w:tcPr>
            <w:tcW w:w="502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ослуги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 висвітлення в друкованих засобах масової інформації,</w:t>
            </w:r>
            <w:r w:rsidR="00FC2BC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на телебаченні,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на 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рекламних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конструкці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ях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(Сітілайт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), інформаційних стенд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та інших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засоб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ах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FC2BCD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освіти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Управління культури і туризму</w:t>
            </w:r>
          </w:p>
        </w:tc>
      </w:tr>
      <w:tr w:rsidR="00927C12" w:rsidRPr="007E33C6" w:rsidTr="000A423F">
        <w:trPr>
          <w:trHeight w:val="529"/>
        </w:trPr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В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ід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ді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 з питань фізичної культури та спорту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УЖКГтаБ</w:t>
            </w:r>
          </w:p>
        </w:tc>
      </w:tr>
      <w:tr w:rsidR="00927C12" w:rsidRPr="007E33C6" w:rsidTr="000A423F">
        <w:tc>
          <w:tcPr>
            <w:tcW w:w="502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управління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362"/>
        </w:trPr>
        <w:tc>
          <w:tcPr>
            <w:tcW w:w="99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</w:rPr>
              <w:t>Завдання</w:t>
            </w: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5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517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Фінансова  підтримка діяльності </w:t>
            </w:r>
            <w:r w:rsidRPr="007E33C6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органів самоорганізації населення 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29 900,00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927C12" w:rsidRPr="007E33C6" w:rsidTr="000A423F">
        <w:tblPrEx>
          <w:tblCellMar>
            <w:left w:w="18" w:type="dxa"/>
          </w:tblCellMar>
        </w:tblPrEx>
        <w:trPr>
          <w:trHeight w:val="515"/>
        </w:trPr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послуг з готівкового обслуговування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комітет</w:t>
            </w:r>
          </w:p>
        </w:tc>
      </w:tr>
      <w:tr w:rsidR="00927C12" w:rsidRPr="007E33C6" w:rsidTr="000A423F">
        <w:tc>
          <w:tcPr>
            <w:tcW w:w="5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FC2BCD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  <w:r w:rsidR="000E78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27C12" w:rsidRPr="007E33C6" w:rsidRDefault="00927C12" w:rsidP="00927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33C6">
        <w:rPr>
          <w:rFonts w:ascii="Times New Roman" w:hAnsi="Times New Roman" w:cs="Times New Roman"/>
          <w:sz w:val="20"/>
          <w:szCs w:val="20"/>
        </w:rPr>
        <w:tab/>
      </w:r>
      <w:r w:rsidRPr="007E33C6">
        <w:rPr>
          <w:rFonts w:ascii="Times New Roman" w:hAnsi="Times New Roman" w:cs="Times New Roman"/>
          <w:sz w:val="20"/>
          <w:szCs w:val="20"/>
        </w:rPr>
        <w:tab/>
        <w:t xml:space="preserve">В т. ч. по </w:t>
      </w:r>
      <w:r w:rsidRPr="007E33C6">
        <w:rPr>
          <w:rFonts w:ascii="Times New Roman" w:hAnsi="Times New Roman" w:cs="Times New Roman"/>
          <w:sz w:val="20"/>
          <w:szCs w:val="20"/>
          <w:lang w:val="uk-UA"/>
        </w:rPr>
        <w:t>головних розпорядниках</w:t>
      </w:r>
    </w:p>
    <w:tbl>
      <w:tblPr>
        <w:tblW w:w="8725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-5" w:type="dxa"/>
          <w:bottom w:w="55" w:type="dxa"/>
          <w:right w:w="55" w:type="dxa"/>
        </w:tblCellMar>
        <w:tblLook w:val="04A0"/>
      </w:tblPr>
      <w:tblGrid>
        <w:gridCol w:w="6063"/>
        <w:gridCol w:w="1135"/>
        <w:gridCol w:w="1527"/>
      </w:tblGrid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Головний розпорядник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КЕКВ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С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ума</w:t>
            </w:r>
            <w:r w:rsidRPr="007E33C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, грн.</w:t>
            </w:r>
          </w:p>
        </w:tc>
      </w:tr>
      <w:tr w:rsidR="00927C12" w:rsidRPr="007E33C6" w:rsidTr="000A423F">
        <w:tc>
          <w:tcPr>
            <w:tcW w:w="6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Виконавчий комітет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:rsidTr="000A423F"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FC2BCD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394 </w:t>
            </w:r>
            <w:r w:rsidR="00927C12"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</w:t>
            </w:r>
          </w:p>
        </w:tc>
      </w:tr>
      <w:tr w:rsidR="00927C12" w:rsidRPr="007E33C6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29 900,00</w:t>
            </w:r>
          </w:p>
        </w:tc>
      </w:tr>
      <w:tr w:rsidR="00927C12" w:rsidRPr="007E33C6" w:rsidTr="000A423F">
        <w:trPr>
          <w:trHeight w:val="217"/>
        </w:trPr>
        <w:tc>
          <w:tcPr>
            <w:tcW w:w="6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2800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Всього по в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иконавч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ому 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комітет</w:t>
            </w:r>
            <w:r w:rsidRPr="007E33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FC2BCD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52</w:t>
            </w:r>
            <w:r w:rsidR="000E78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освіти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Управління культури і туризму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10 000,00</w:t>
            </w:r>
          </w:p>
        </w:tc>
      </w:tr>
      <w:tr w:rsidR="00927C12" w:rsidRPr="007E33C6" w:rsidTr="000A423F">
        <w:trPr>
          <w:trHeight w:val="330"/>
        </w:trPr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ід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д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іл з питань фізичної культури та спорту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Управління житлово-комунального господарства та будівництва (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УЖКГтаБ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Фінансове </w:t>
            </w:r>
            <w:r w:rsidRPr="007E33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управління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27C12" w:rsidRPr="007E33C6" w:rsidRDefault="00927C12" w:rsidP="000A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2240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2 000,00</w:t>
            </w:r>
          </w:p>
        </w:tc>
      </w:tr>
      <w:tr w:rsidR="00927C12" w:rsidRPr="007E33C6" w:rsidTr="000A423F">
        <w:tc>
          <w:tcPr>
            <w:tcW w:w="6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927C12" w:rsidP="000A423F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27C12" w:rsidRPr="007E33C6" w:rsidRDefault="00FC2BCD" w:rsidP="000A423F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56</w:t>
            </w:r>
            <w:r w:rsidR="000E789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927C12" w:rsidRPr="007E33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000,00</w:t>
            </w:r>
          </w:p>
        </w:tc>
      </w:tr>
    </w:tbl>
    <w:p w:rsidR="00FB7083" w:rsidRPr="00927C12" w:rsidRDefault="00FB7083" w:rsidP="00927C12"/>
    <w:sectPr w:rsidR="00FB7083" w:rsidRPr="00927C12" w:rsidSect="00AE4F48">
      <w:pgSz w:w="11906" w:h="16838"/>
      <w:pgMar w:top="993" w:right="707" w:bottom="426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7083"/>
    <w:rsid w:val="000E7894"/>
    <w:rsid w:val="001B1E2A"/>
    <w:rsid w:val="004C4558"/>
    <w:rsid w:val="0055486B"/>
    <w:rsid w:val="005553C9"/>
    <w:rsid w:val="0070093E"/>
    <w:rsid w:val="0083777F"/>
    <w:rsid w:val="00927C12"/>
    <w:rsid w:val="00AE4F48"/>
    <w:rsid w:val="00C04A83"/>
    <w:rsid w:val="00C505F6"/>
    <w:rsid w:val="00E720E2"/>
    <w:rsid w:val="00FB7083"/>
    <w:rsid w:val="00FC20C3"/>
    <w:rsid w:val="00FC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19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E34D1"/>
    <w:rPr>
      <w:rFonts w:eastAsia="Times New Roman" w:cs="Times New Roman"/>
    </w:rPr>
  </w:style>
  <w:style w:type="character" w:customStyle="1" w:styleId="ListLabel2">
    <w:name w:val="ListLabel 2"/>
    <w:qFormat/>
    <w:rsid w:val="00FE34D1"/>
    <w:rPr>
      <w:rFonts w:eastAsia="Times New Roman" w:cs="Times New Roman"/>
    </w:rPr>
  </w:style>
  <w:style w:type="character" w:customStyle="1" w:styleId="ListLabel3">
    <w:name w:val="ListLabel 3"/>
    <w:qFormat/>
    <w:rsid w:val="00FE34D1"/>
    <w:rPr>
      <w:rFonts w:cs="Courier New"/>
    </w:rPr>
  </w:style>
  <w:style w:type="character" w:customStyle="1" w:styleId="ListLabel4">
    <w:name w:val="ListLabel 4"/>
    <w:qFormat/>
    <w:rsid w:val="00FE34D1"/>
    <w:rPr>
      <w:rFonts w:cs="Courier New"/>
    </w:rPr>
  </w:style>
  <w:style w:type="character" w:customStyle="1" w:styleId="ListLabel5">
    <w:name w:val="ListLabel 5"/>
    <w:qFormat/>
    <w:rsid w:val="00FE34D1"/>
    <w:rPr>
      <w:rFonts w:cs="Courier New"/>
    </w:rPr>
  </w:style>
  <w:style w:type="character" w:customStyle="1" w:styleId="ListLabel6">
    <w:name w:val="ListLabel 6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sid w:val="00FE34D1"/>
    <w:rPr>
      <w:rFonts w:cs="Times New Roman"/>
    </w:rPr>
  </w:style>
  <w:style w:type="character" w:customStyle="1" w:styleId="ListLabel8">
    <w:name w:val="ListLabel 8"/>
    <w:qFormat/>
    <w:rsid w:val="00FE34D1"/>
    <w:rPr>
      <w:rFonts w:cs="Times New Roman"/>
    </w:rPr>
  </w:style>
  <w:style w:type="character" w:customStyle="1" w:styleId="ListLabel9">
    <w:name w:val="ListLabel 9"/>
    <w:qFormat/>
    <w:rsid w:val="00FE34D1"/>
    <w:rPr>
      <w:rFonts w:cs="Times New Roman"/>
    </w:rPr>
  </w:style>
  <w:style w:type="character" w:customStyle="1" w:styleId="ListLabel10">
    <w:name w:val="ListLabel 10"/>
    <w:qFormat/>
    <w:rsid w:val="00FE34D1"/>
    <w:rPr>
      <w:rFonts w:cs="Times New Roman"/>
    </w:rPr>
  </w:style>
  <w:style w:type="character" w:customStyle="1" w:styleId="ListLabel11">
    <w:name w:val="ListLabel 11"/>
    <w:qFormat/>
    <w:rsid w:val="00FE34D1"/>
    <w:rPr>
      <w:rFonts w:cs="Times New Roman"/>
    </w:rPr>
  </w:style>
  <w:style w:type="character" w:customStyle="1" w:styleId="ListLabel12">
    <w:name w:val="ListLabel 12"/>
    <w:qFormat/>
    <w:rsid w:val="00FE34D1"/>
    <w:rPr>
      <w:rFonts w:cs="Times New Roman"/>
    </w:rPr>
  </w:style>
  <w:style w:type="character" w:customStyle="1" w:styleId="ListLabel13">
    <w:name w:val="ListLabel 13"/>
    <w:qFormat/>
    <w:rsid w:val="00FE34D1"/>
    <w:rPr>
      <w:rFonts w:cs="Times New Roman"/>
    </w:rPr>
  </w:style>
  <w:style w:type="character" w:customStyle="1" w:styleId="ListLabel14">
    <w:name w:val="ListLabel 14"/>
    <w:qFormat/>
    <w:rsid w:val="00FE34D1"/>
    <w:rPr>
      <w:rFonts w:cs="Times New Roman"/>
    </w:rPr>
  </w:style>
  <w:style w:type="character" w:customStyle="1" w:styleId="-">
    <w:name w:val="Интернет-ссылка"/>
    <w:rsid w:val="00FE34D1"/>
    <w:rPr>
      <w:color w:val="000080"/>
      <w:u w:val="single"/>
    </w:rPr>
  </w:style>
  <w:style w:type="character" w:customStyle="1" w:styleId="ListLabel15">
    <w:name w:val="ListLabel 15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16">
    <w:name w:val="ListLabel 16"/>
    <w:qFormat/>
    <w:rsid w:val="00FE34D1"/>
    <w:rPr>
      <w:rFonts w:cs="Times New Roman"/>
    </w:rPr>
  </w:style>
  <w:style w:type="character" w:customStyle="1" w:styleId="ListLabel17">
    <w:name w:val="ListLabel 17"/>
    <w:qFormat/>
    <w:rsid w:val="00FE34D1"/>
    <w:rPr>
      <w:rFonts w:cs="Times New Roman"/>
    </w:rPr>
  </w:style>
  <w:style w:type="character" w:customStyle="1" w:styleId="ListLabel18">
    <w:name w:val="ListLabel 18"/>
    <w:qFormat/>
    <w:rsid w:val="00FE34D1"/>
    <w:rPr>
      <w:rFonts w:cs="Times New Roman"/>
    </w:rPr>
  </w:style>
  <w:style w:type="character" w:customStyle="1" w:styleId="ListLabel19">
    <w:name w:val="ListLabel 19"/>
    <w:qFormat/>
    <w:rsid w:val="00FE34D1"/>
    <w:rPr>
      <w:rFonts w:cs="Times New Roman"/>
    </w:rPr>
  </w:style>
  <w:style w:type="character" w:customStyle="1" w:styleId="ListLabel20">
    <w:name w:val="ListLabel 20"/>
    <w:qFormat/>
    <w:rsid w:val="00FE34D1"/>
    <w:rPr>
      <w:rFonts w:cs="Times New Roman"/>
    </w:rPr>
  </w:style>
  <w:style w:type="character" w:customStyle="1" w:styleId="ListLabel21">
    <w:name w:val="ListLabel 21"/>
    <w:qFormat/>
    <w:rsid w:val="00FE34D1"/>
    <w:rPr>
      <w:rFonts w:cs="Times New Roman"/>
    </w:rPr>
  </w:style>
  <w:style w:type="character" w:customStyle="1" w:styleId="ListLabel22">
    <w:name w:val="ListLabel 22"/>
    <w:qFormat/>
    <w:rsid w:val="00FE34D1"/>
    <w:rPr>
      <w:rFonts w:cs="Times New Roman"/>
    </w:rPr>
  </w:style>
  <w:style w:type="character" w:customStyle="1" w:styleId="ListLabel23">
    <w:name w:val="ListLabel 23"/>
    <w:qFormat/>
    <w:rsid w:val="00FE34D1"/>
    <w:rPr>
      <w:rFonts w:cs="Times New Roman"/>
    </w:rPr>
  </w:style>
  <w:style w:type="character" w:customStyle="1" w:styleId="ListLabel24">
    <w:name w:val="ListLabel 24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25">
    <w:name w:val="ListLabel 25"/>
    <w:qFormat/>
    <w:rsid w:val="00FE34D1"/>
    <w:rPr>
      <w:rFonts w:cs="Times New Roman"/>
    </w:rPr>
  </w:style>
  <w:style w:type="character" w:customStyle="1" w:styleId="ListLabel26">
    <w:name w:val="ListLabel 26"/>
    <w:qFormat/>
    <w:rsid w:val="00FE34D1"/>
    <w:rPr>
      <w:rFonts w:cs="Times New Roman"/>
    </w:rPr>
  </w:style>
  <w:style w:type="character" w:customStyle="1" w:styleId="ListLabel27">
    <w:name w:val="ListLabel 27"/>
    <w:qFormat/>
    <w:rsid w:val="00FE34D1"/>
    <w:rPr>
      <w:rFonts w:cs="Times New Roman"/>
    </w:rPr>
  </w:style>
  <w:style w:type="character" w:customStyle="1" w:styleId="ListLabel28">
    <w:name w:val="ListLabel 28"/>
    <w:qFormat/>
    <w:rsid w:val="00FE34D1"/>
    <w:rPr>
      <w:rFonts w:cs="Times New Roman"/>
    </w:rPr>
  </w:style>
  <w:style w:type="character" w:customStyle="1" w:styleId="ListLabel29">
    <w:name w:val="ListLabel 29"/>
    <w:qFormat/>
    <w:rsid w:val="00FE34D1"/>
    <w:rPr>
      <w:rFonts w:cs="Times New Roman"/>
    </w:rPr>
  </w:style>
  <w:style w:type="character" w:customStyle="1" w:styleId="ListLabel30">
    <w:name w:val="ListLabel 30"/>
    <w:qFormat/>
    <w:rsid w:val="00FE34D1"/>
    <w:rPr>
      <w:rFonts w:cs="Times New Roman"/>
    </w:rPr>
  </w:style>
  <w:style w:type="character" w:customStyle="1" w:styleId="ListLabel31">
    <w:name w:val="ListLabel 31"/>
    <w:qFormat/>
    <w:rsid w:val="00FE34D1"/>
    <w:rPr>
      <w:rFonts w:cs="Times New Roman"/>
    </w:rPr>
  </w:style>
  <w:style w:type="character" w:customStyle="1" w:styleId="ListLabel32">
    <w:name w:val="ListLabel 32"/>
    <w:qFormat/>
    <w:rsid w:val="00FE34D1"/>
    <w:rPr>
      <w:rFonts w:cs="Times New Roman"/>
    </w:rPr>
  </w:style>
  <w:style w:type="character" w:customStyle="1" w:styleId="ListLabel33">
    <w:name w:val="ListLabel 33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34">
    <w:name w:val="ListLabel 34"/>
    <w:qFormat/>
    <w:rsid w:val="00FE34D1"/>
    <w:rPr>
      <w:rFonts w:cs="Times New Roman"/>
    </w:rPr>
  </w:style>
  <w:style w:type="character" w:customStyle="1" w:styleId="ListLabel35">
    <w:name w:val="ListLabel 35"/>
    <w:qFormat/>
    <w:rsid w:val="00FE34D1"/>
    <w:rPr>
      <w:rFonts w:cs="Times New Roman"/>
    </w:rPr>
  </w:style>
  <w:style w:type="character" w:customStyle="1" w:styleId="ListLabel36">
    <w:name w:val="ListLabel 36"/>
    <w:qFormat/>
    <w:rsid w:val="00FE34D1"/>
    <w:rPr>
      <w:rFonts w:cs="Times New Roman"/>
    </w:rPr>
  </w:style>
  <w:style w:type="character" w:customStyle="1" w:styleId="ListLabel37">
    <w:name w:val="ListLabel 37"/>
    <w:qFormat/>
    <w:rsid w:val="00FE34D1"/>
    <w:rPr>
      <w:rFonts w:cs="Times New Roman"/>
    </w:rPr>
  </w:style>
  <w:style w:type="character" w:customStyle="1" w:styleId="ListLabel38">
    <w:name w:val="ListLabel 38"/>
    <w:qFormat/>
    <w:rsid w:val="00FE34D1"/>
    <w:rPr>
      <w:rFonts w:cs="Times New Roman"/>
    </w:rPr>
  </w:style>
  <w:style w:type="character" w:customStyle="1" w:styleId="ListLabel39">
    <w:name w:val="ListLabel 39"/>
    <w:qFormat/>
    <w:rsid w:val="00FE34D1"/>
    <w:rPr>
      <w:rFonts w:cs="Times New Roman"/>
    </w:rPr>
  </w:style>
  <w:style w:type="character" w:customStyle="1" w:styleId="ListLabel40">
    <w:name w:val="ListLabel 40"/>
    <w:qFormat/>
    <w:rsid w:val="00FE34D1"/>
    <w:rPr>
      <w:rFonts w:cs="Times New Roman"/>
    </w:rPr>
  </w:style>
  <w:style w:type="character" w:customStyle="1" w:styleId="ListLabel41">
    <w:name w:val="ListLabel 41"/>
    <w:qFormat/>
    <w:rsid w:val="00FE34D1"/>
    <w:rPr>
      <w:rFonts w:cs="Times New Roman"/>
    </w:rPr>
  </w:style>
  <w:style w:type="character" w:customStyle="1" w:styleId="ListLabel42">
    <w:name w:val="ListLabel 42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43">
    <w:name w:val="ListLabel 43"/>
    <w:qFormat/>
    <w:rsid w:val="00FE34D1"/>
    <w:rPr>
      <w:rFonts w:cs="Times New Roman"/>
    </w:rPr>
  </w:style>
  <w:style w:type="character" w:customStyle="1" w:styleId="ListLabel44">
    <w:name w:val="ListLabel 44"/>
    <w:qFormat/>
    <w:rsid w:val="00FE34D1"/>
    <w:rPr>
      <w:rFonts w:cs="Times New Roman"/>
    </w:rPr>
  </w:style>
  <w:style w:type="character" w:customStyle="1" w:styleId="ListLabel45">
    <w:name w:val="ListLabel 45"/>
    <w:qFormat/>
    <w:rsid w:val="00FE34D1"/>
    <w:rPr>
      <w:rFonts w:cs="Times New Roman"/>
    </w:rPr>
  </w:style>
  <w:style w:type="character" w:customStyle="1" w:styleId="ListLabel46">
    <w:name w:val="ListLabel 46"/>
    <w:qFormat/>
    <w:rsid w:val="00FE34D1"/>
    <w:rPr>
      <w:rFonts w:cs="Times New Roman"/>
    </w:rPr>
  </w:style>
  <w:style w:type="character" w:customStyle="1" w:styleId="ListLabel47">
    <w:name w:val="ListLabel 47"/>
    <w:qFormat/>
    <w:rsid w:val="00FE34D1"/>
    <w:rPr>
      <w:rFonts w:cs="Times New Roman"/>
    </w:rPr>
  </w:style>
  <w:style w:type="character" w:customStyle="1" w:styleId="ListLabel48">
    <w:name w:val="ListLabel 48"/>
    <w:qFormat/>
    <w:rsid w:val="00FE34D1"/>
    <w:rPr>
      <w:rFonts w:cs="Times New Roman"/>
    </w:rPr>
  </w:style>
  <w:style w:type="character" w:customStyle="1" w:styleId="ListLabel49">
    <w:name w:val="ListLabel 49"/>
    <w:qFormat/>
    <w:rsid w:val="00FE34D1"/>
    <w:rPr>
      <w:rFonts w:cs="Times New Roman"/>
    </w:rPr>
  </w:style>
  <w:style w:type="character" w:customStyle="1" w:styleId="ListLabel50">
    <w:name w:val="ListLabel 50"/>
    <w:qFormat/>
    <w:rsid w:val="00FE34D1"/>
    <w:rPr>
      <w:rFonts w:cs="Times New Roman"/>
    </w:rPr>
  </w:style>
  <w:style w:type="character" w:customStyle="1" w:styleId="ListLabel51">
    <w:name w:val="ListLabel 51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52">
    <w:name w:val="ListLabel 52"/>
    <w:qFormat/>
    <w:rsid w:val="00FE34D1"/>
    <w:rPr>
      <w:rFonts w:cs="Times New Roman"/>
    </w:rPr>
  </w:style>
  <w:style w:type="character" w:customStyle="1" w:styleId="ListLabel53">
    <w:name w:val="ListLabel 53"/>
    <w:qFormat/>
    <w:rsid w:val="00FE34D1"/>
    <w:rPr>
      <w:rFonts w:cs="Times New Roman"/>
    </w:rPr>
  </w:style>
  <w:style w:type="character" w:customStyle="1" w:styleId="ListLabel54">
    <w:name w:val="ListLabel 54"/>
    <w:qFormat/>
    <w:rsid w:val="00FE34D1"/>
    <w:rPr>
      <w:rFonts w:cs="Times New Roman"/>
    </w:rPr>
  </w:style>
  <w:style w:type="character" w:customStyle="1" w:styleId="ListLabel55">
    <w:name w:val="ListLabel 55"/>
    <w:qFormat/>
    <w:rsid w:val="00FE34D1"/>
    <w:rPr>
      <w:rFonts w:cs="Times New Roman"/>
    </w:rPr>
  </w:style>
  <w:style w:type="character" w:customStyle="1" w:styleId="ListLabel56">
    <w:name w:val="ListLabel 56"/>
    <w:qFormat/>
    <w:rsid w:val="00FE34D1"/>
    <w:rPr>
      <w:rFonts w:cs="Times New Roman"/>
    </w:rPr>
  </w:style>
  <w:style w:type="character" w:customStyle="1" w:styleId="ListLabel57">
    <w:name w:val="ListLabel 57"/>
    <w:qFormat/>
    <w:rsid w:val="00FE34D1"/>
    <w:rPr>
      <w:rFonts w:cs="Times New Roman"/>
    </w:rPr>
  </w:style>
  <w:style w:type="character" w:customStyle="1" w:styleId="ListLabel58">
    <w:name w:val="ListLabel 58"/>
    <w:qFormat/>
    <w:rsid w:val="00FE34D1"/>
    <w:rPr>
      <w:rFonts w:cs="Times New Roman"/>
    </w:rPr>
  </w:style>
  <w:style w:type="character" w:customStyle="1" w:styleId="ListLabel59">
    <w:name w:val="ListLabel 59"/>
    <w:qFormat/>
    <w:rsid w:val="00FE34D1"/>
    <w:rPr>
      <w:rFonts w:cs="Times New Roman"/>
    </w:rPr>
  </w:style>
  <w:style w:type="character" w:customStyle="1" w:styleId="ListLabel60">
    <w:name w:val="ListLabel 60"/>
    <w:qFormat/>
    <w:rsid w:val="00FE34D1"/>
    <w:rPr>
      <w:rFonts w:ascii="Times New Roman" w:hAnsi="Times New Roman" w:cs="Times New Roman"/>
      <w:b/>
      <w:sz w:val="24"/>
    </w:rPr>
  </w:style>
  <w:style w:type="character" w:customStyle="1" w:styleId="ListLabel61">
    <w:name w:val="ListLabel 61"/>
    <w:qFormat/>
    <w:rsid w:val="00FE34D1"/>
    <w:rPr>
      <w:rFonts w:cs="Times New Roman"/>
    </w:rPr>
  </w:style>
  <w:style w:type="character" w:customStyle="1" w:styleId="ListLabel62">
    <w:name w:val="ListLabel 62"/>
    <w:qFormat/>
    <w:rsid w:val="00FE34D1"/>
    <w:rPr>
      <w:rFonts w:cs="Times New Roman"/>
    </w:rPr>
  </w:style>
  <w:style w:type="character" w:customStyle="1" w:styleId="ListLabel63">
    <w:name w:val="ListLabel 63"/>
    <w:qFormat/>
    <w:rsid w:val="00FE34D1"/>
    <w:rPr>
      <w:rFonts w:cs="Times New Roman"/>
    </w:rPr>
  </w:style>
  <w:style w:type="character" w:customStyle="1" w:styleId="ListLabel64">
    <w:name w:val="ListLabel 64"/>
    <w:qFormat/>
    <w:rsid w:val="00FE34D1"/>
    <w:rPr>
      <w:rFonts w:cs="Times New Roman"/>
    </w:rPr>
  </w:style>
  <w:style w:type="character" w:customStyle="1" w:styleId="ListLabel65">
    <w:name w:val="ListLabel 65"/>
    <w:qFormat/>
    <w:rsid w:val="00FE34D1"/>
    <w:rPr>
      <w:rFonts w:cs="Times New Roman"/>
    </w:rPr>
  </w:style>
  <w:style w:type="character" w:customStyle="1" w:styleId="ListLabel66">
    <w:name w:val="ListLabel 66"/>
    <w:qFormat/>
    <w:rsid w:val="00FE34D1"/>
    <w:rPr>
      <w:rFonts w:cs="Times New Roman"/>
    </w:rPr>
  </w:style>
  <w:style w:type="character" w:customStyle="1" w:styleId="ListLabel67">
    <w:name w:val="ListLabel 67"/>
    <w:qFormat/>
    <w:rsid w:val="00FE34D1"/>
    <w:rPr>
      <w:rFonts w:cs="Times New Roman"/>
    </w:rPr>
  </w:style>
  <w:style w:type="character" w:customStyle="1" w:styleId="ListLabel68">
    <w:name w:val="ListLabel 68"/>
    <w:qFormat/>
    <w:rsid w:val="00FE34D1"/>
    <w:rPr>
      <w:rFonts w:cs="Times New Roman"/>
    </w:rPr>
  </w:style>
  <w:style w:type="character" w:customStyle="1" w:styleId="ListLabel69">
    <w:name w:val="ListLabel 69"/>
    <w:qFormat/>
    <w:rsid w:val="00AE4F48"/>
    <w:rPr>
      <w:rFonts w:cs="Times New Roman"/>
      <w:b/>
      <w:sz w:val="24"/>
    </w:rPr>
  </w:style>
  <w:style w:type="character" w:customStyle="1" w:styleId="ListLabel70">
    <w:name w:val="ListLabel 70"/>
    <w:qFormat/>
    <w:rsid w:val="00AE4F48"/>
    <w:rPr>
      <w:rFonts w:cs="Times New Roman"/>
    </w:rPr>
  </w:style>
  <w:style w:type="character" w:customStyle="1" w:styleId="ListLabel71">
    <w:name w:val="ListLabel 71"/>
    <w:qFormat/>
    <w:rsid w:val="00AE4F48"/>
    <w:rPr>
      <w:rFonts w:cs="Times New Roman"/>
    </w:rPr>
  </w:style>
  <w:style w:type="character" w:customStyle="1" w:styleId="ListLabel72">
    <w:name w:val="ListLabel 72"/>
    <w:qFormat/>
    <w:rsid w:val="00AE4F48"/>
    <w:rPr>
      <w:rFonts w:cs="Times New Roman"/>
    </w:rPr>
  </w:style>
  <w:style w:type="character" w:customStyle="1" w:styleId="ListLabel73">
    <w:name w:val="ListLabel 73"/>
    <w:qFormat/>
    <w:rsid w:val="00AE4F48"/>
    <w:rPr>
      <w:rFonts w:cs="Times New Roman"/>
    </w:rPr>
  </w:style>
  <w:style w:type="character" w:customStyle="1" w:styleId="ListLabel74">
    <w:name w:val="ListLabel 74"/>
    <w:qFormat/>
    <w:rsid w:val="00AE4F48"/>
    <w:rPr>
      <w:rFonts w:cs="Times New Roman"/>
    </w:rPr>
  </w:style>
  <w:style w:type="character" w:customStyle="1" w:styleId="ListLabel75">
    <w:name w:val="ListLabel 75"/>
    <w:qFormat/>
    <w:rsid w:val="00AE4F48"/>
    <w:rPr>
      <w:rFonts w:cs="Times New Roman"/>
    </w:rPr>
  </w:style>
  <w:style w:type="character" w:customStyle="1" w:styleId="ListLabel76">
    <w:name w:val="ListLabel 76"/>
    <w:qFormat/>
    <w:rsid w:val="00AE4F48"/>
    <w:rPr>
      <w:rFonts w:cs="Times New Roman"/>
    </w:rPr>
  </w:style>
  <w:style w:type="character" w:customStyle="1" w:styleId="ListLabel77">
    <w:name w:val="ListLabel 77"/>
    <w:qFormat/>
    <w:rsid w:val="00AE4F48"/>
    <w:rPr>
      <w:rFonts w:cs="Times New Roman"/>
    </w:rPr>
  </w:style>
  <w:style w:type="paragraph" w:customStyle="1" w:styleId="1">
    <w:name w:val="Заголовок1"/>
    <w:basedOn w:val="a"/>
    <w:next w:val="a4"/>
    <w:qFormat/>
    <w:rsid w:val="00FE3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E34D1"/>
    <w:pPr>
      <w:spacing w:after="140" w:line="288" w:lineRule="auto"/>
    </w:pPr>
  </w:style>
  <w:style w:type="paragraph" w:styleId="a5">
    <w:name w:val="List"/>
    <w:basedOn w:val="a4"/>
    <w:rsid w:val="00FE34D1"/>
    <w:rPr>
      <w:rFonts w:cs="Mangal"/>
    </w:rPr>
  </w:style>
  <w:style w:type="paragraph" w:styleId="a6">
    <w:name w:val="caption"/>
    <w:basedOn w:val="a"/>
    <w:qFormat/>
    <w:rsid w:val="00FE3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E34D1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4819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789E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FE34D1"/>
    <w:pPr>
      <w:suppressLineNumbers/>
    </w:pPr>
  </w:style>
  <w:style w:type="paragraph" w:customStyle="1" w:styleId="ab">
    <w:name w:val="Заголовок таблицы"/>
    <w:basedOn w:val="aa"/>
    <w:qFormat/>
    <w:rsid w:val="00FE34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.wikipedia.org/wiki/&#1052;&#1110;&#1089;&#1094;&#1077;&#1074;&#1077;_&#1089;&#1072;&#1084;&#1086;&#1074;&#1088;&#1103;&#1076;&#1091;&#1074;&#1072;&#1085;&#1085;&#1103;_&#1074;_&#1059;&#1082;&#1088;&#1072;&#1111;&#1085;&#111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Finvid12</cp:lastModifiedBy>
  <cp:revision>7</cp:revision>
  <cp:lastPrinted>2020-12-08T14:44:00Z</cp:lastPrinted>
  <dcterms:created xsi:type="dcterms:W3CDTF">2020-11-24T13:36:00Z</dcterms:created>
  <dcterms:modified xsi:type="dcterms:W3CDTF">2020-12-08T14:44:00Z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