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F74A" w14:textId="77777777" w:rsidR="00FB7083" w:rsidRDefault="00C04A83">
      <w:pPr>
        <w:tabs>
          <w:tab w:val="left" w:pos="5955"/>
        </w:tabs>
        <w:spacing w:line="240" w:lineRule="auto"/>
        <w:jc w:val="right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 xml:space="preserve">             Додаток №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до рішення Ніжинської</w:t>
      </w:r>
      <w:r>
        <w:rPr>
          <w:rFonts w:ascii="Times New Roman" w:hAnsi="Times New Roman"/>
          <w:sz w:val="28"/>
          <w:lang w:val="uk-UA"/>
        </w:rPr>
        <w:tab/>
        <w:t xml:space="preserve">міської ради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  <w:lang w:val="uk-UA"/>
        </w:rPr>
        <w:t xml:space="preserve"> скликання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        від                 2020 р.</w:t>
      </w:r>
    </w:p>
    <w:p w14:paraId="59E5934B" w14:textId="77777777" w:rsidR="00FB7083" w:rsidRDefault="00C04A83">
      <w:pPr>
        <w:widowControl w:val="0"/>
        <w:shd w:val="clear" w:color="auto" w:fill="FFFFFF"/>
        <w:suppressAutoHyphens/>
        <w:spacing w:after="0" w:line="317" w:lineRule="exact"/>
        <w:ind w:right="-55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2021 рік</w:t>
      </w:r>
    </w:p>
    <w:p w14:paraId="5750940A" w14:textId="77777777" w:rsidR="00FB7083" w:rsidRDefault="00C04A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І. Паспорт   </w:t>
      </w:r>
    </w:p>
    <w:tbl>
      <w:tblPr>
        <w:tblW w:w="9751" w:type="dxa"/>
        <w:tblInd w:w="-2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776"/>
        <w:gridCol w:w="4001"/>
        <w:gridCol w:w="4974"/>
      </w:tblGrid>
      <w:tr w:rsidR="00FB7083" w14:paraId="3F9C97C6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4C1DC5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1EFC1E" w14:textId="77777777" w:rsidR="00FB7083" w:rsidRDefault="00C04A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BAAD71" w14:textId="77777777" w:rsidR="00FB7083" w:rsidRDefault="00C04A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FB7083" w14:paraId="63D8DBF5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776AF5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4F25A7" w14:textId="77777777" w:rsidR="00FB7083" w:rsidRDefault="00C04A83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Законодавча база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6439D4" w14:textId="77777777" w:rsidR="00FB7083" w:rsidRDefault="00C04A83">
            <w:pPr>
              <w:suppressAutoHyphens/>
              <w:spacing w:after="0" w:line="240" w:lineRule="auto"/>
              <w:ind w:firstLine="72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Бюджетний кодекс,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Цивільний Кодекс, Кодекс «Про адміністративні правопорушення», Тимчасове положення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ьських, селищних, міських голів»,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   «Про місцеве самоврядування в Україні»,</w:t>
            </w:r>
          </w:p>
          <w:p w14:paraId="240B62C5" w14:textId="77777777" w:rsidR="00FB7083" w:rsidRDefault="00C04A83">
            <w:pPr>
              <w:suppressAutoHyphens/>
              <w:spacing w:after="0" w:line="240" w:lineRule="auto"/>
              <w:ind w:firstLine="72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uk-UA" w:eastAsia="zh-CN"/>
              </w:rPr>
              <w:t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uk-UA" w:eastAsia="zh-CN"/>
              </w:rPr>
              <w:t xml:space="preserve">их і комунальних друкованих засобів масової інформації”,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«Про статус депутатів місцевих рад»,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 «Про службу в органах місцевого самоврядування»,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Статути Асоціації міст України та громад, Чернігівської обласної Асоціації «Ради Чернігівщини», Асоціації “Енергоефективні міста України”,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Наказ Головного управління державної служби України від 29.12.2009р. №406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Про затвердження Типових професійно-кваліф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ікаційних характеристик посадових осіб місцевого самоврядування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співпрацю між Виконавчим комітетом Ніжинської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та Ніжинським державним університетом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імені М. Гоголя», «Про укладення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еморандуму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про співпрацю між виконавчим комітетом Ніжинської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FB7083" w14:paraId="64E62496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7B2F48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D19880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D43AF2" w14:textId="77777777" w:rsidR="00FB7083" w:rsidRDefault="00C04A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Виконавчий комітет Ніжинської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Чернігівської області</w:t>
            </w:r>
          </w:p>
        </w:tc>
      </w:tr>
      <w:tr w:rsidR="00FB7083" w14:paraId="327A9849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16840D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D4E6B3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A34429" w14:textId="77777777" w:rsidR="00FB7083" w:rsidRDefault="00C04A83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Виконавчий комітет,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комунальні підприємства, установи, організації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міста</w:t>
            </w:r>
          </w:p>
        </w:tc>
      </w:tr>
      <w:tr w:rsidR="00FB7083" w14:paraId="6620E4ED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30F59F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BAB15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EF01B2" w14:textId="77777777" w:rsidR="00FB7083" w:rsidRDefault="00C04A83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Виконавчий комітет,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комунальні підприємства, установи, організації міста</w:t>
            </w:r>
          </w:p>
        </w:tc>
      </w:tr>
      <w:tr w:rsidR="00FB7083" w14:paraId="0346EE07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FB3B15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164615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8B68F9" w14:textId="77777777" w:rsidR="00FB7083" w:rsidRDefault="00C04A83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2021 р.</w:t>
            </w:r>
          </w:p>
        </w:tc>
      </w:tr>
      <w:tr w:rsidR="00FB7083" w14:paraId="7D8CAB0A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2646A7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7152C7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Етапи виконання програми</w:t>
            </w:r>
          </w:p>
          <w:p w14:paraId="5C819287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(для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DF3728" w14:textId="77777777" w:rsidR="00FB7083" w:rsidRDefault="00C04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-</w:t>
            </w:r>
          </w:p>
          <w:p w14:paraId="1B53EBE0" w14:textId="77777777" w:rsidR="00FB7083" w:rsidRDefault="00FB7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</w:tr>
      <w:tr w:rsidR="00FB7083" w14:paraId="46017540" w14:textId="77777777">
        <w:trPr>
          <w:trHeight w:val="17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8AA774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46DAB2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2B409211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3060E1" w14:textId="77777777" w:rsidR="00FB7083" w:rsidRDefault="00C04A83">
            <w:pPr>
              <w:widowControl w:val="0"/>
              <w:suppressAutoHyphens/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211100,00 грн. (додаток до програми)</w:t>
            </w:r>
          </w:p>
        </w:tc>
      </w:tr>
      <w:tr w:rsidR="00FB7083" w14:paraId="7D7DCD9A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FBE61A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B742B9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Кошти  бюджету Ніжинської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міської ОТГ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876D6E" w14:textId="77777777" w:rsidR="00FB7083" w:rsidRDefault="00C04A83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211100,00 грн.</w:t>
            </w:r>
          </w:p>
        </w:tc>
      </w:tr>
      <w:tr w:rsidR="00FB7083" w14:paraId="2D4A787D" w14:textId="77777777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45996F" w14:textId="77777777" w:rsidR="00FB7083" w:rsidRDefault="00C04A8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1C2758" w14:textId="77777777" w:rsidR="00FB7083" w:rsidRDefault="00C04A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1E23A6" w14:textId="77777777" w:rsidR="00FB7083" w:rsidRDefault="00C04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-</w:t>
            </w:r>
          </w:p>
        </w:tc>
      </w:tr>
    </w:tbl>
    <w:p w14:paraId="1CFD1D71" w14:textId="77777777" w:rsidR="00FB7083" w:rsidRDefault="00C04A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ІІ.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zh-CN"/>
        </w:rPr>
        <w:t>Проблема,  на  розв’язання  якої  спрямована  програма</w:t>
      </w:r>
    </w:p>
    <w:p w14:paraId="355F3D36" w14:textId="77777777" w:rsidR="00FB7083" w:rsidRDefault="00C04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тя мешканців конкретної територіальної громади. </w:t>
      </w:r>
    </w:p>
    <w:p w14:paraId="21BC0D32" w14:textId="77777777" w:rsidR="00FB7083" w:rsidRDefault="00C04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Разом з тим, організація навчання посадових осіб органів місцевого самоврядування ускладнюється:</w:t>
      </w:r>
    </w:p>
    <w:p w14:paraId="46530311" w14:textId="77777777" w:rsidR="00FB7083" w:rsidRDefault="00C0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неналежною фінансовою базою місцевого самоврядування, що перешкоджає залученню до роботи в органах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місцевого самоврядування топ-менеджерів з сучасною освітою та відповідним досвідом;</w:t>
      </w:r>
    </w:p>
    <w:p w14:paraId="79A97D16" w14:textId="77777777" w:rsidR="00FB7083" w:rsidRDefault="00C0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14:paraId="7630B3FE" w14:textId="77777777" w:rsidR="00FB7083" w:rsidRDefault="00C0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 недосконалістю українського законодавст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ва, що регламентує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14:paraId="457612FB" w14:textId="77777777" w:rsidR="00FB7083" w:rsidRDefault="00C0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недостатньою координацією діяльності різних установ та організацій, що займаються навчанням посадови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 осіб органів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14:paraId="5DC2FCD3" w14:textId="77777777" w:rsidR="00FB7083" w:rsidRDefault="00C04A83">
      <w:pPr>
        <w:suppressAutoHyphens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 умовах сучасності важливою необхідністю є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інформування населення  громади щодо діял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ОТГ .</w:t>
      </w:r>
    </w:p>
    <w:p w14:paraId="1C6A1C19" w14:textId="77777777" w:rsidR="00FB7083" w:rsidRDefault="00C04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Необхідність комплексної системи заходів по виконанню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державної регуляторної політики у сфері господарської діяльності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забезпечує виконання чинного законодавства України: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Кодексу України «Про адміністративні правопорушення»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законів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«Про засади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ржавної регуляторної політики у сфері господарської діяльності»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підвищує ефективність управлінських рішень. </w:t>
      </w:r>
    </w:p>
    <w:p w14:paraId="2DC49EB6" w14:textId="77777777" w:rsidR="00FB7083" w:rsidRDefault="00FB70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6B09655C" w14:textId="77777777" w:rsidR="00FB7083" w:rsidRDefault="00C04A83">
      <w:pPr>
        <w:widowControl w:val="0"/>
        <w:shd w:val="clear" w:color="auto" w:fill="FFFFFF"/>
        <w:suppressAutoHyphens/>
        <w:spacing w:after="0" w:line="317" w:lineRule="exac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zh-CN"/>
        </w:rPr>
        <w:t xml:space="preserve">ІІІ.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uk-UA" w:eastAsia="zh-CN"/>
        </w:rPr>
        <w:t>Мета програми</w:t>
      </w:r>
    </w:p>
    <w:p w14:paraId="628271EE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оловною метою програми є: </w:t>
      </w:r>
    </w:p>
    <w:p w14:paraId="4159ACE0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адміністративної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матеріально-технічне забезпечення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роботи виборчих комісій у міжвиборчий період тощо;</w:t>
      </w:r>
    </w:p>
    <w:p w14:paraId="2849D90E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забезпечення виконання 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14:paraId="3418B319" w14:textId="77777777" w:rsidR="00FB7083" w:rsidRDefault="00C04A83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-  забезпечення виконання завд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становлення, розвиток і зміцнення </w:t>
      </w:r>
      <w:hyperlink r:id="rId4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uk-UA" w:eastAsia="zh-CN"/>
          </w:rPr>
          <w:t>місцевого самоврядування в Україні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329B84B9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формування комплексу заходів по підвищенні професійних компетентностей посадових осіб місцевого самоврядування та депутатів Ніжинської міської ради;</w:t>
      </w:r>
    </w:p>
    <w:p w14:paraId="133F815B" w14:textId="77777777" w:rsidR="00FB7083" w:rsidRDefault="00C04A83">
      <w:pPr>
        <w:widowControl w:val="0"/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кціях (Сітілайтах), інформаційних стендах та інших засобах для розміщення інформації;</w:t>
      </w:r>
    </w:p>
    <w:p w14:paraId="065232DD" w14:textId="77777777" w:rsidR="00FB7083" w:rsidRDefault="00C04A83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підвищення організаційних і ресурсних можливостей міської влади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здійсненні завдань соціально-економічного і культурного розвитку громади.</w:t>
      </w:r>
    </w:p>
    <w:p w14:paraId="1A76019C" w14:textId="77777777" w:rsidR="00FB7083" w:rsidRDefault="00C04A8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ІV.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zh-CN"/>
        </w:rPr>
        <w:t xml:space="preserve">Обґрунтування шляхів  і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zh-CN"/>
        </w:rPr>
        <w:t xml:space="preserve"> засобів  розв’язання  проблеми, обсягів та джерел фінансування, строки виконання програми</w:t>
      </w:r>
    </w:p>
    <w:p w14:paraId="3C286F6D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Шляхами розв’язання проблеми є:</w:t>
      </w:r>
    </w:p>
    <w:p w14:paraId="76477373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технічне обслуговування та матеріально-технічне забезпечення адміністративної комісії, оприлюднення  регуляторних актів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14:paraId="2E24EE3A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абезпечення виконання завдань </w:t>
      </w: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Асоціації міст України та громад, Чернігівської обласної Асоціації «Ради Чернігівщини», Асоціації «Енергоефективні міста України»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відповідно до укладених угод;</w:t>
      </w:r>
    </w:p>
    <w:p w14:paraId="59D3ECD4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- укладання договорів (угод)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фахівцями Національної академії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ержавного управління при Президентові України та іншими експертами, тренерами, коучами щодо отримання освітніх та інших послуг,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матеріально-технічною базою (обладнанням, комп’ютерною та оргтехнікою, матеріальними та нематеріальними активами,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ощо) для роботи депутатів Ніжинської міської ради;</w:t>
      </w:r>
    </w:p>
    <w:p w14:paraId="32315EFA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bookmarkStart w:id="0" w:name="__DdeLink__871_985419948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забезпечення  оплати послуг з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угод з надавачами послуг щодо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оплати  друкованих площ та оплати оренди рекламних конструкцій (Сітілайтів),   інформаційних стендів та інших засобів для розміщення інформації;</w:t>
      </w:r>
    </w:p>
    <w:p w14:paraId="2B156E1E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Фінансування Програми здійснюється за рахунок бюджету Ніжинської міської ОТГ.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датки на виконання Програми передбачаються при формуванні показників бюджету Ніжинської міської ОТГ, виходячи з реальних можливостей у бюджетному періоді.</w:t>
      </w:r>
    </w:p>
    <w:p w14:paraId="702E51CF" w14:textId="77777777" w:rsidR="00FB7083" w:rsidRDefault="00C04A83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Програма виконується протягом 2021 року згідно додатку.</w:t>
      </w:r>
    </w:p>
    <w:p w14:paraId="3C055508" w14:textId="77777777" w:rsidR="00FB7083" w:rsidRDefault="00FB708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39BDDDD" w14:textId="77777777" w:rsidR="00FB7083" w:rsidRDefault="00C04A8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 xml:space="preserve">V. Перелік завдань програми  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результативні показники</w:t>
      </w:r>
    </w:p>
    <w:p w14:paraId="7D9B2579" w14:textId="77777777" w:rsidR="00FB7083" w:rsidRDefault="00C04A8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zh-CN"/>
        </w:rPr>
        <w:t xml:space="preserve">Завдання № 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матері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ально-технічне забезпечення  роботи виборчих комісій у міжвиборчий період.</w:t>
      </w:r>
    </w:p>
    <w:p w14:paraId="43F98A05" w14:textId="77777777" w:rsidR="00FB7083" w:rsidRDefault="00C04A8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zh-CN"/>
        </w:rPr>
        <w:t xml:space="preserve">Завдання № 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оефективні міста України”.</w:t>
      </w:r>
    </w:p>
    <w:p w14:paraId="5730AD6B" w14:textId="77777777" w:rsidR="00FB7083" w:rsidRDefault="00C04A8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Завдання № 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Підвищення рівня компетентностей посадових осіб місцевого самоврядування та депутатів міської ради, вдосконалення організації їхньої роботи,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ефективності управлінських рішень, забезпечення матеріально-технічною 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ою .</w:t>
      </w:r>
    </w:p>
    <w:p w14:paraId="0179C647" w14:textId="77777777" w:rsidR="00FB7083" w:rsidRDefault="00C04A83">
      <w:pPr>
        <w:widowControl w:val="0"/>
        <w:shd w:val="clear" w:color="auto" w:fill="FFFFFF"/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Завдання № 4.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</w:t>
      </w:r>
      <w:bookmarkStart w:id="1" w:name="__DdeLink__1711_98541994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щодо оплати друкованих площ у друкованих  засобах масово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інформації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оплати послуг оренди рекламних конструкцій (Сітілайтів),   інформаційних стендів та інших засобів для розміщення інформації.</w:t>
      </w:r>
    </w:p>
    <w:p w14:paraId="37B8548E" w14:textId="77777777" w:rsidR="00FB7083" w:rsidRDefault="00FB70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5909F5C" w14:textId="77777777" w:rsidR="00FB7083" w:rsidRDefault="00C04A83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VІ.Напрями діяльності та заходи програми</w:t>
      </w:r>
    </w:p>
    <w:p w14:paraId="083E4E36" w14:textId="77777777" w:rsidR="00FB7083" w:rsidRDefault="00C04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Для реалізації визначених завдань передбачено здійснення ряду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заходів у напрямках:</w:t>
      </w:r>
    </w:p>
    <w:p w14:paraId="594B3386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 забезпечення роботи адміністративної комісії;</w:t>
      </w:r>
    </w:p>
    <w:p w14:paraId="35048794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п</w:t>
      </w: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14:paraId="09D201D3" w14:textId="77777777" w:rsidR="00FB7083" w:rsidRDefault="00C04A83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 на 2021 рік та укладених угод (договорів);</w:t>
      </w:r>
    </w:p>
    <w:p w14:paraId="589CB2F3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 друк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опитувань;</w:t>
      </w:r>
    </w:p>
    <w:p w14:paraId="0E89F011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залучення до процесу прийняття рішень експертів, коучів, тренерів;</w:t>
      </w:r>
    </w:p>
    <w:p w14:paraId="5CCB8335" w14:textId="77777777" w:rsidR="00FB7083" w:rsidRDefault="00C04A83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висвітлення діяль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ності органів місцевого самоврядування та публічного управління,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укладання угод з надавачами послуг щодо оплати друкованих площ у друкованих  засобах масової інформації та оплати послуг оренди рекламних конструкцій (Сітілайтів),   інформаційних стендів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інших засобів для розміщення інформації.</w:t>
      </w:r>
    </w:p>
    <w:p w14:paraId="06756997" w14:textId="77777777" w:rsidR="00FB7083" w:rsidRDefault="00FB70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61607775" w14:textId="77777777" w:rsidR="00FB7083" w:rsidRDefault="00C04A83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14:paraId="4CD3A6C9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Виконання програми забезпечується відповідальними виконавцями за рахунок коштів бюджету Ніжинської міської ОТГ з урахуванням його можливостей у  бюджетному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періоді в межах асигнувань, передбачених  на Програму.</w:t>
      </w:r>
    </w:p>
    <w:p w14:paraId="6EB23A58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/>
        </w:rPr>
        <w:t>.</w:t>
      </w:r>
    </w:p>
    <w:p w14:paraId="46752D31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метою підвищення ефективності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zh-CN"/>
        </w:rPr>
        <w:t>викор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zh-CN"/>
        </w:rPr>
        <w:t>истання бюджетних коштів,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14:paraId="185387F2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Звіт про виконання Програми щоквартально до 6-го числа місяця, наступного за звітним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кварталом, головними розпорядниками бюджетних коштів надається фінансовому управлінню Ніжинської міської ради.</w:t>
      </w:r>
    </w:p>
    <w:p w14:paraId="57930BE8" w14:textId="77777777" w:rsidR="00FB7083" w:rsidRDefault="00C04A83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14:paraId="3F3C9793" w14:textId="77777777" w:rsidR="00FB7083" w:rsidRDefault="00FB7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14:paraId="128FC982" w14:textId="77777777" w:rsidR="00FB7083" w:rsidRDefault="00FB70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14:paraId="3132314E" w14:textId="77777777" w:rsidR="00FB7083" w:rsidRDefault="00C04A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Міський голова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          А.В.Лінник</w:t>
      </w:r>
    </w:p>
    <w:p w14:paraId="6D9A5633" w14:textId="77777777" w:rsidR="00FB7083" w:rsidRDefault="00FB70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4E9CCB3" w14:textId="77777777" w:rsidR="00FB7083" w:rsidRDefault="00C04A83">
      <w:pPr>
        <w:widowControl w:val="0"/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lang w:val="uk-UA"/>
        </w:rPr>
        <w:t xml:space="preserve"> Додаток 1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до міської цільової програми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</w:t>
      </w:r>
      <w:r>
        <w:rPr>
          <w:rFonts w:ascii="Times New Roman" w:hAnsi="Times New Roman"/>
          <w:lang w:val="uk-UA"/>
        </w:rPr>
        <w:tab/>
        <w:t xml:space="preserve"> з виконання власних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повноважень Ніжинської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міської ради на 2021 рік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285ED7B4" w14:textId="77777777" w:rsidR="00FB7083" w:rsidRDefault="00C04A83">
      <w:pPr>
        <w:jc w:val="center"/>
      </w:pPr>
      <w:r>
        <w:rPr>
          <w:rFonts w:ascii="Times New Roman" w:hAnsi="Times New Roman"/>
          <w:sz w:val="24"/>
          <w:szCs w:val="24"/>
          <w:lang w:val="uk-UA"/>
        </w:rPr>
        <w:t>Фінансове забезпечення програми</w:t>
      </w:r>
    </w:p>
    <w:tbl>
      <w:tblPr>
        <w:tblW w:w="9900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8"/>
        <w:gridCol w:w="776"/>
        <w:gridCol w:w="1206"/>
        <w:gridCol w:w="2900"/>
      </w:tblGrid>
      <w:tr w:rsidR="00FB7083" w14:paraId="3C9ABD81" w14:textId="77777777">
        <w:tc>
          <w:tcPr>
            <w:tcW w:w="5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85E4B6" w14:textId="77777777" w:rsidR="00FB7083" w:rsidRDefault="00C04A8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A40F89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F4A016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AE3101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Головний розпорядник</w:t>
            </w:r>
          </w:p>
        </w:tc>
      </w:tr>
      <w:tr w:rsidR="00FB7083" w14:paraId="140B66A6" w14:textId="77777777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64E0A9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1  </w:t>
            </w:r>
          </w:p>
        </w:tc>
      </w:tr>
      <w:tr w:rsidR="00FB7083" w14:paraId="7CD52CBB" w14:textId="77777777">
        <w:tc>
          <w:tcPr>
            <w:tcW w:w="5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6DAB13" w14:textId="77777777" w:rsidR="00FB7083" w:rsidRDefault="00C04A8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48B74B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6AC8559" w14:textId="77777777" w:rsidR="00FB7083" w:rsidRDefault="00C04A83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847DA7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FB7083" w14:paraId="5F0C495E" w14:textId="77777777">
        <w:tc>
          <w:tcPr>
            <w:tcW w:w="5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9220390" w14:textId="77777777" w:rsidR="00FB7083" w:rsidRDefault="00C04A8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Опублікування оголошень, о</w:t>
            </w:r>
            <w:r>
              <w:rPr>
                <w:rFonts w:ascii="Times New Roman" w:hAnsi="Times New Roman"/>
                <w:sz w:val="24"/>
                <w:szCs w:val="24"/>
              </w:rPr>
              <w:t>прилюднення регуляторнихактів,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видатки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EF6814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  <w:p w14:paraId="2378AD05" w14:textId="77777777" w:rsidR="00FB7083" w:rsidRDefault="00FB7083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9265EA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5CBEAF" w14:textId="77777777" w:rsidR="00FB7083" w:rsidRDefault="00C04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FB7083" w14:paraId="1D395CFF" w14:textId="77777777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67767C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2</w:t>
            </w:r>
          </w:p>
        </w:tc>
      </w:tr>
      <w:tr w:rsidR="00FB7083" w14:paraId="404F96A7" w14:textId="77777777">
        <w:tc>
          <w:tcPr>
            <w:tcW w:w="5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B1767B" w14:textId="77777777" w:rsidR="00FB7083" w:rsidRDefault="00C04A8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1B3056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1A4369" w14:textId="77777777" w:rsidR="00FB7083" w:rsidRDefault="00C04A83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90000,00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98E9D5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FB7083" w14:paraId="3E7D9402" w14:textId="77777777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534B53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3</w:t>
            </w:r>
          </w:p>
        </w:tc>
      </w:tr>
      <w:tr w:rsidR="00FB7083" w14:paraId="158ABB67" w14:textId="77777777">
        <w:tc>
          <w:tcPr>
            <w:tcW w:w="5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A3D6EE" w14:textId="77777777" w:rsidR="00FB7083" w:rsidRDefault="00C04A83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по навчанню (проведення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семінарів, укладання угод); послуги експертів, коучів, тренерів;послуги з  д</w:t>
            </w: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власнихнауковихрозробок, результатівпроведенихдосліджень та соціологічнихопитувань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тиражуваннябюлетенів для голосування при проведенні соціологічнихопитувань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79703C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D3665E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0B034E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FB7083" w14:paraId="7E8317EF" w14:textId="77777777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441FC2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4</w:t>
            </w:r>
          </w:p>
        </w:tc>
      </w:tr>
      <w:tr w:rsidR="00FB7083" w14:paraId="57936017" w14:textId="77777777">
        <w:tc>
          <w:tcPr>
            <w:tcW w:w="50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3A3073" w14:textId="77777777" w:rsidR="00FB7083" w:rsidRDefault="00C04A83">
            <w:pPr>
              <w:pStyle w:val="aa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 висвітлення в друкованих засобах масової інформації, на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рекламнихконструкці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(Сітілайт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 інформаційних стенд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іншихзасоб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ах,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забезпечення  оплати послуг з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исвітлення діяльності Ніжинської міської ради, її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виконавчого комітету,  виконавчих органів, міського голови, комунальних підприємств, установ і організацій через укладання угод з надавачами послуг по наданню друкованих площ у друкованих  засобах масової інформації та рекламних конструкцій (Сітілайтів), 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нформаційних стендів та інших засобів для розміщення інформації.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16172BD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7B70AA" w14:textId="77777777" w:rsidR="00FB7083" w:rsidRDefault="00C04A83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9DDF7C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Виконавчий комітет</w:t>
            </w:r>
          </w:p>
        </w:tc>
      </w:tr>
      <w:tr w:rsidR="00FB7083" w14:paraId="5A902E21" w14:textId="77777777">
        <w:tc>
          <w:tcPr>
            <w:tcW w:w="50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DA31DA" w14:textId="77777777" w:rsidR="00FB7083" w:rsidRDefault="00FB7083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B7521D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D5D4CF" w14:textId="77777777" w:rsidR="00FB7083" w:rsidRDefault="00C04A83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5204D4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FB7083" w14:paraId="667B16EF" w14:textId="77777777">
        <w:tc>
          <w:tcPr>
            <w:tcW w:w="50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467E3B" w14:textId="77777777" w:rsidR="00FB7083" w:rsidRDefault="00FB7083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6579E4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022594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685B15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культури і туризму</w:t>
            </w:r>
          </w:p>
        </w:tc>
      </w:tr>
      <w:tr w:rsidR="00FB7083" w14:paraId="5E9EE278" w14:textId="77777777">
        <w:trPr>
          <w:trHeight w:val="529"/>
        </w:trPr>
        <w:tc>
          <w:tcPr>
            <w:tcW w:w="50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B2BB4A8" w14:textId="77777777" w:rsidR="00FB7083" w:rsidRDefault="00FB7083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BE3EBC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79AADA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9C7771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 з питань фізичної культури та спорту</w:t>
            </w:r>
          </w:p>
        </w:tc>
      </w:tr>
      <w:tr w:rsidR="00FB7083" w14:paraId="243D6ED0" w14:textId="77777777">
        <w:tc>
          <w:tcPr>
            <w:tcW w:w="50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630D2F" w14:textId="77777777" w:rsidR="00FB7083" w:rsidRDefault="00FB7083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FD73A7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4AB49F" w14:textId="77777777" w:rsidR="00FB7083" w:rsidRDefault="00C04A83">
            <w:pPr>
              <w:pStyle w:val="aa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000145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УЖКГтаБ</w:t>
            </w:r>
          </w:p>
        </w:tc>
      </w:tr>
      <w:tr w:rsidR="00FB7083" w14:paraId="1C783E9E" w14:textId="77777777">
        <w:tc>
          <w:tcPr>
            <w:tcW w:w="50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D0E49F" w14:textId="77777777" w:rsidR="00FB7083" w:rsidRDefault="00FB7083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DF9767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C03CFC" w14:textId="77777777" w:rsidR="00FB7083" w:rsidRDefault="00C04A83">
            <w:pPr>
              <w:pStyle w:val="aa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2 000,00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F05EF9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управління</w:t>
            </w:r>
          </w:p>
        </w:tc>
      </w:tr>
      <w:tr w:rsidR="00FB7083" w14:paraId="3F5E1659" w14:textId="77777777">
        <w:trPr>
          <w:trHeight w:val="362"/>
        </w:trPr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06E3CD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5</w:t>
            </w:r>
          </w:p>
        </w:tc>
      </w:tr>
      <w:tr w:rsidR="00FB7083" w14:paraId="5ECA5FB7" w14:textId="77777777">
        <w:trPr>
          <w:trHeight w:val="515"/>
        </w:trPr>
        <w:tc>
          <w:tcPr>
            <w:tcW w:w="5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8C3D3C" w14:textId="77777777" w:rsidR="00FB7083" w:rsidRDefault="00C04A83">
            <w:pPr>
              <w:pStyle w:val="aa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готівкового обслуговування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15E5A9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186D72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  <w:p w14:paraId="052B7B5F" w14:textId="77777777" w:rsidR="00FB7083" w:rsidRDefault="00FB7083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288D87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Виконавчий комітет</w:t>
            </w:r>
          </w:p>
        </w:tc>
      </w:tr>
      <w:tr w:rsidR="00FB7083" w14:paraId="57271255" w14:textId="77777777">
        <w:tc>
          <w:tcPr>
            <w:tcW w:w="5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C6CA12" w14:textId="77777777" w:rsidR="00FB7083" w:rsidRDefault="00C04A8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42DF2B" w14:textId="77777777" w:rsidR="00FB7083" w:rsidRDefault="00FB7083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784B2B" w14:textId="77777777" w:rsidR="00FB7083" w:rsidRDefault="00C04A83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211100,00</w:t>
            </w:r>
          </w:p>
        </w:tc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E85C3A" w14:textId="77777777" w:rsidR="00FB7083" w:rsidRDefault="00FB7083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0F72B10" w14:textId="77777777" w:rsidR="00FB7083" w:rsidRDefault="00C04A83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т. ч. по </w:t>
      </w:r>
      <w:r>
        <w:rPr>
          <w:rFonts w:ascii="Times New Roman" w:hAnsi="Times New Roman"/>
          <w:sz w:val="24"/>
          <w:szCs w:val="24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527"/>
      </w:tblGrid>
      <w:tr w:rsidR="00FB7083" w14:paraId="2DF705B6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3BB2AA" w14:textId="77777777" w:rsidR="00FB7083" w:rsidRDefault="00C04A8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422A42" w14:textId="77777777" w:rsidR="00FB7083" w:rsidRDefault="00C04A8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5BDB41" w14:textId="77777777" w:rsidR="00FB7083" w:rsidRDefault="00C04A8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, грн.</w:t>
            </w:r>
          </w:p>
        </w:tc>
      </w:tr>
      <w:tr w:rsidR="00FB7083" w14:paraId="2F83BB27" w14:textId="77777777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A2DA53" w14:textId="77777777" w:rsidR="00FB7083" w:rsidRDefault="00C04A8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Виконавчий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комітет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9E9FBC" w14:textId="77777777" w:rsidR="00FB7083" w:rsidRDefault="00C04A8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62B342" w14:textId="77777777" w:rsidR="00FB7083" w:rsidRDefault="00C04A83">
            <w:pPr>
              <w:pStyle w:val="aa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10 000,00</w:t>
            </w:r>
          </w:p>
        </w:tc>
      </w:tr>
      <w:tr w:rsidR="00FB7083" w14:paraId="32AB8DBA" w14:textId="77777777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AF8847" w14:textId="77777777" w:rsidR="00FB7083" w:rsidRDefault="00FB708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0C0613" w14:textId="77777777" w:rsidR="00FB7083" w:rsidRDefault="00C04A8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51F187" w14:textId="77777777" w:rsidR="00FB7083" w:rsidRDefault="00C04A83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74 100,00</w:t>
            </w:r>
          </w:p>
        </w:tc>
      </w:tr>
      <w:tr w:rsidR="00FB7083" w14:paraId="72D317F1" w14:textId="77777777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68EF8F" w14:textId="77777777" w:rsidR="00FB7083" w:rsidRDefault="00FB708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BB3CBC" w14:textId="77777777" w:rsidR="00FB7083" w:rsidRDefault="00C04A8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15AE78" w14:textId="77777777" w:rsidR="00FB7083" w:rsidRDefault="00C04A83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90000</w:t>
            </w:r>
          </w:p>
        </w:tc>
      </w:tr>
      <w:tr w:rsidR="00FB7083" w14:paraId="1D65D664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4A7D8D" w14:textId="77777777" w:rsidR="00FB7083" w:rsidRDefault="00C04A8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иконавч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ому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комітет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BF4D95" w14:textId="77777777" w:rsidR="00FB7083" w:rsidRDefault="00FB708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103249" w14:textId="77777777" w:rsidR="00FB7083" w:rsidRDefault="00C04A83">
            <w:pPr>
              <w:pStyle w:val="aa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174 100,00</w:t>
            </w:r>
          </w:p>
        </w:tc>
      </w:tr>
      <w:tr w:rsidR="00FB7083" w14:paraId="24114E36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DE72D2" w14:textId="77777777" w:rsidR="00FB7083" w:rsidRDefault="00C04A8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E7E0D7" w14:textId="77777777" w:rsidR="00FB7083" w:rsidRDefault="00C04A8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A9904B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12 000,00</w:t>
            </w:r>
          </w:p>
        </w:tc>
      </w:tr>
      <w:tr w:rsidR="00FB7083" w14:paraId="782C0326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F2339A" w14:textId="77777777" w:rsidR="00FB7083" w:rsidRDefault="00C04A8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B26772" w14:textId="77777777" w:rsidR="00FB7083" w:rsidRDefault="00C04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376BB6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10 000,00</w:t>
            </w:r>
          </w:p>
        </w:tc>
      </w:tr>
      <w:tr w:rsidR="00FB7083" w14:paraId="49D02CFD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81C76F" w14:textId="77777777" w:rsidR="00FB7083" w:rsidRDefault="00C04A8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ідідл з питань фізичної культури та спорту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CCC643" w14:textId="77777777" w:rsidR="00FB7083" w:rsidRDefault="00FB7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DEE97B" w14:textId="77777777" w:rsidR="00FB7083" w:rsidRDefault="00C04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AFF82A" w14:textId="77777777" w:rsidR="00FB7083" w:rsidRDefault="00C04A83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8 000,00</w:t>
            </w:r>
          </w:p>
        </w:tc>
      </w:tr>
      <w:tr w:rsidR="00FB7083" w14:paraId="32219023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5AB58F" w14:textId="77777777" w:rsidR="00FB7083" w:rsidRDefault="00C04A8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УЖКГтаБ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F40C02" w14:textId="77777777" w:rsidR="00FB7083" w:rsidRDefault="00FB7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7D997F" w14:textId="77777777" w:rsidR="00FB7083" w:rsidRDefault="00C04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765EDA" w14:textId="77777777" w:rsidR="00FB7083" w:rsidRDefault="00C04A83">
            <w:pPr>
              <w:pStyle w:val="aa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5 000,00</w:t>
            </w:r>
          </w:p>
        </w:tc>
      </w:tr>
      <w:tr w:rsidR="00FB7083" w14:paraId="0BB38A94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A3585E" w14:textId="77777777" w:rsidR="00FB7083" w:rsidRDefault="00C04A8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Фінансове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управління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81FD32" w14:textId="77777777" w:rsidR="00FB7083" w:rsidRDefault="00C04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DB21FB" w14:textId="77777777" w:rsidR="00FB7083" w:rsidRDefault="00C04A83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2 000,00</w:t>
            </w:r>
          </w:p>
        </w:tc>
      </w:tr>
      <w:tr w:rsidR="00FB7083" w14:paraId="4061C2AB" w14:textId="77777777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D814EE" w14:textId="77777777" w:rsidR="00FB7083" w:rsidRDefault="00C04A8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A794AC" w14:textId="77777777" w:rsidR="00FB7083" w:rsidRDefault="00FB708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FF7CC1" w14:textId="77777777" w:rsidR="00FB7083" w:rsidRDefault="00C04A83">
            <w:pPr>
              <w:pStyle w:val="aa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211 100,00</w:t>
            </w:r>
          </w:p>
        </w:tc>
      </w:tr>
    </w:tbl>
    <w:p w14:paraId="0175E9B3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239327C2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5F690C00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5BFE4F20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462E6F2B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7E6B97B7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00A8322F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4F99DB5D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5C8151A8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68267B49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275496E2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732D1D23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24C3BB08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03EAEA5E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662DBE0F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03E14235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73B5AF49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1C128107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0CECA69D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6DC089EF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0E7878CF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3EBF4EBA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4C3C11E2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3786DC8D" w14:textId="77777777" w:rsidR="00FB7083" w:rsidRDefault="00FB7083">
      <w:pPr>
        <w:widowControl w:val="0"/>
        <w:suppressAutoHyphens/>
        <w:spacing w:after="0" w:line="240" w:lineRule="auto"/>
        <w:ind w:left="5670"/>
        <w:jc w:val="both"/>
      </w:pPr>
    </w:p>
    <w:p w14:paraId="4BC7D1B5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Експертизу проведено</w:t>
      </w:r>
    </w:p>
    <w:p w14:paraId="4BC4E758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Погоджено:</w:t>
      </w:r>
    </w:p>
    <w:p w14:paraId="5BEBE599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Л.В.Писаренко</w:t>
      </w:r>
    </w:p>
    <w:p w14:paraId="03D3F521" w14:textId="77777777" w:rsidR="00FB7083" w:rsidRDefault="00C04A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та </w:t>
      </w:r>
    </w:p>
    <w:p w14:paraId="756F9E98" w14:textId="77777777" w:rsidR="00FB7083" w:rsidRDefault="00C04A83">
      <w:pPr>
        <w:widowControl w:val="0"/>
        <w:suppressAutoHyphens/>
        <w:spacing w:after="0" w:line="240" w:lineRule="auto"/>
        <w:jc w:val="both"/>
      </w:pPr>
      <w:bookmarkStart w:id="2" w:name="__DdeLink__1412_2050417302"/>
      <w:bookmarkEnd w:id="2"/>
      <w:r>
        <w:rPr>
          <w:rFonts w:ascii="Times New Roman" w:hAnsi="Times New Roman"/>
          <w:sz w:val="28"/>
          <w:szCs w:val="28"/>
        </w:rPr>
        <w:t>інвестиційної діяльності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Т.М.Гавриш</w:t>
      </w:r>
    </w:p>
    <w:sectPr w:rsidR="00FB7083">
      <w:pgSz w:w="11906" w:h="16838"/>
      <w:pgMar w:top="993" w:right="707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83"/>
    <w:rsid w:val="00C04A83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CDD"/>
  <w15:docId w15:val="{482118DE-535D-4B5F-BC4B-1E05B696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Pr>
      <w:rFonts w:cs="Times New Roman"/>
      <w:b/>
      <w:sz w:val="24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9243</Words>
  <Characters>5269</Characters>
  <Application>Microsoft Office Word</Application>
  <DocSecurity>0</DocSecurity>
  <Lines>43</Lines>
  <Paragraphs>28</Paragraphs>
  <ScaleCrop>false</ScaleCrop>
  <Company>SPecialiST RePack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2020-11-24T14:17:00Z</cp:lastPrinted>
  <dcterms:created xsi:type="dcterms:W3CDTF">2020-11-24T13:36:00Z</dcterms:created>
  <dcterms:modified xsi:type="dcterms:W3CDTF">2020-11-24T13:36:00Z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