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D6" w:rsidRPr="006E03D6" w:rsidRDefault="006E03D6" w:rsidP="006E03D6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sz w:val="54"/>
          <w:szCs w:val="54"/>
          <w:lang w:eastAsia="uk-UA"/>
        </w:rPr>
      </w:pPr>
      <w:proofErr w:type="spellStart"/>
      <w:r w:rsidRPr="006E03D6">
        <w:rPr>
          <w:rFonts w:ascii="Arial" w:eastAsia="Times New Roman" w:hAnsi="Arial" w:cs="Arial"/>
          <w:sz w:val="54"/>
          <w:szCs w:val="54"/>
          <w:lang w:eastAsia="uk-UA"/>
        </w:rPr>
        <w:t>Проєкт</w:t>
      </w:r>
      <w:proofErr w:type="spellEnd"/>
      <w:r w:rsidRPr="006E03D6">
        <w:rPr>
          <w:rFonts w:ascii="Arial" w:eastAsia="Times New Roman" w:hAnsi="Arial" w:cs="Arial"/>
          <w:sz w:val="54"/>
          <w:szCs w:val="54"/>
          <w:lang w:eastAsia="uk-UA"/>
        </w:rPr>
        <w:t xml:space="preserve"> Держбюджету-2021 у показниках та цифрах. Аналіз та перші висновки АМУ</w:t>
      </w:r>
    </w:p>
    <w:p w:rsidR="006E03D6" w:rsidRPr="006E03D6" w:rsidRDefault="006E03D6" w:rsidP="006E03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6E03D6">
        <w:rPr>
          <w:rFonts w:ascii="Arial" w:eastAsia="Times New Roman" w:hAnsi="Arial" w:cs="Arial"/>
          <w:sz w:val="24"/>
          <w:szCs w:val="24"/>
          <w:lang w:eastAsia="uk-UA"/>
        </w:rPr>
        <w:t> </w:t>
      </w:r>
      <w:r w:rsidRPr="006E03D6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15</w:t>
      </w:r>
      <w:r w:rsidRPr="006E03D6">
        <w:rPr>
          <w:rFonts w:ascii="Arial" w:eastAsia="Times New Roman" w:hAnsi="Arial" w:cs="Arial"/>
          <w:sz w:val="24"/>
          <w:szCs w:val="24"/>
          <w:lang w:eastAsia="uk-UA"/>
        </w:rPr>
        <w:t> / Вересень, 2020</w:t>
      </w:r>
    </w:p>
    <w:p w:rsidR="006E03D6" w:rsidRPr="006E03D6" w:rsidRDefault="006E03D6" w:rsidP="006E03D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6E03D6">
        <w:rPr>
          <w:rFonts w:ascii="Arial" w:eastAsia="Times New Roman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1905000" cy="1143000"/>
            <wp:effectExtent l="19050" t="0" r="0" b="0"/>
            <wp:docPr id="1" name="Рисунок 1" descr="http://www.auc.org.ua/sites/default/files/styles/200x120/public/field/image/ac_amu1-01_dubl_2_2_0_4.jpg?itok=iD_D1P7c">
              <a:hlinkClick xmlns:a="http://schemas.openxmlformats.org/drawingml/2006/main" r:id="rId5" tooltip="&quot;Проєкт Держбюджету-2021 у показниках та цифрах. Аналіз та перші висновки АМ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c.org.ua/sites/default/files/styles/200x120/public/field/image/ac_amu1-01_dubl_2_2_0_4.jpg?itok=iD_D1P7c">
                      <a:hlinkClick r:id="rId5" tooltip="&quot;Проєкт Держбюджету-2021 у показниках та цифрах. Аналіз та перші висновки АМ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14 вересня  Кабінет Міністрів України схвалив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Державного бюджету на 2021 рік і направив його на розгляд Верховної Ради України.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Асоціація міст України проаналізувала урядовий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Закону України "Про Державний бюджет України на 2021 рік" </w:t>
      </w:r>
      <w:hyperlink r:id="rId7" w:tgtFrame="_blank" w:history="1">
        <w:r w:rsidRPr="006E03D6">
          <w:rPr>
            <w:rFonts w:ascii="Arial" w:eastAsia="Times New Roman" w:hAnsi="Arial" w:cs="Arial"/>
            <w:sz w:val="26"/>
            <w:szCs w:val="26"/>
            <w:u w:val="single"/>
            <w:lang w:eastAsia="uk-UA"/>
          </w:rPr>
          <w:t>№4000</w:t>
        </w:r>
      </w:hyperlink>
      <w:r w:rsidRPr="006E03D6">
        <w:rPr>
          <w:rFonts w:ascii="Arial" w:eastAsia="Times New Roman" w:hAnsi="Arial" w:cs="Arial"/>
          <w:sz w:val="26"/>
          <w:szCs w:val="26"/>
          <w:lang w:eastAsia="uk-UA"/>
        </w:rPr>
        <w:t> від 14.09.2020 в частині бюджетної забезпеченості територіальних громад.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Загальні показники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Держбюджету-2021 передбачає переведення на прямі міжбюджетні відносини 1438 громад, що відповідає новому адміністративно-територіальному устрою. Для горизонтального вирівнювання податкоспроможності територій передбачено 15,7 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базової дотації та 10,4 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реверсної дотації.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br/>
        <w:t xml:space="preserve">Обсяг додаткових дотацій з державного бюджету місцевим бюджетам складає 8,6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, що включає 7,9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додаткової дотації на здійснення переданих з державного бюджету видатків з утримання закладів освіти та охорони здоров'я, розподіл якої між обласними бюджетами вже передбачено у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проєкті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>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Cambria Math" w:eastAsia="Times New Roman" w:hAnsi="Cambria Math" w:cs="Cambria Math"/>
          <w:i/>
          <w:iCs/>
          <w:sz w:val="26"/>
          <w:szCs w:val="26"/>
          <w:lang w:eastAsia="uk-UA"/>
        </w:rPr>
        <w:t>⇒</w:t>
      </w:r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За підрахунками АМУ, у Держбюджеті-2021 необхідно передбачити не менше 14 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 додаткової дотації на здійснення видатків з утримання закладів освіти та охорони здоров’я, в тому числі переданих з районного рівня. Також АМУ звертає увагу на те, що </w:t>
      </w:r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у держбюджеті доцільно передбачати відповідний розподіл цієї дотації між бюджетами місцевого самоврядування.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За сферами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У освітній сфері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t> на 2021 рік заплановано 102,5 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освітньої субвенції, що на 29,6% більше, ніж у 2020 році.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Cambria Math" w:eastAsia="Times New Roman" w:hAnsi="Cambria Math" w:cs="Cambria Math"/>
          <w:i/>
          <w:iCs/>
          <w:sz w:val="26"/>
          <w:szCs w:val="26"/>
          <w:lang w:eastAsia="uk-UA"/>
        </w:rPr>
        <w:t>⇒</w:t>
      </w:r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Проте за підрахунками Асоціації міст України обсяг освітньої субвенції має складати не менше 115 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аби врахувати підвищення мінімальної заробітної плати до 6500 гривень.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br/>
        <w:t>Варто відзначити, що у 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проєкті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передбачається нова субвенція на боротьбу із СOVID-19 для закладів загальної середньої освіти в обсязі 1,0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грн.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br/>
      </w:r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У сфері охорони здоров'я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 передбачається, що обсяг видатків на реалізацію програми державних гарантій медичного обслуговування зросте на 38,9% у порівнянні із показниками 2020 року і складе 123,4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грн. Заплановано, що субвенція на здійснення підтримки окремих закладів та заходів у системі охорони здоров’я становитиме 2,9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>, що на 1,42 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більше, ніж у 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lastRenderedPageBreak/>
        <w:t xml:space="preserve">2020 році. Обсяг субвенції на реформування регіональних систем охорони здоров’я для здійснення заходів з виконання спільного з Міжнародним банком реконструкції та розвитку проекту «Поліпшення охорони здоров'я на службі у людей» складе 555,0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>, що на 15,8% менше, ніж у 2020 році.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Cambria Math" w:eastAsia="Times New Roman" w:hAnsi="Cambria Math" w:cs="Cambria Math"/>
          <w:i/>
          <w:iCs/>
          <w:sz w:val="26"/>
          <w:szCs w:val="26"/>
          <w:lang w:eastAsia="uk-UA"/>
        </w:rPr>
        <w:t>⇒</w:t>
      </w:r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На 2021 рік не передбачається субвенції на придбання 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ангіографічного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обладнання та субвенції на погашення кредиторської заборгованості, що утворилася за придбане у 2012 році медичне обладнання (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мамографічне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, рентгенологічне та апарати ультразвукової діагностики) вітчизняного виробництва.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br/>
      </w:r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У сфері соціального захисту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 заплановано: 305,1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виплату грошової компенсації на житло сім’ям ветеранів; 248,4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виплату грошової компенсації на житло для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внутрішньопереміщених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осіб; 50,0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виплату грошової компенсації для сімей учасників бойових дій; 12,307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виплату грошової компенсації для сімей учасників Революції Гідності; 795,384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проєктні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будівельно-ремонтні роботи, придбання житла дітям-сиротам.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br/>
      </w:r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У сфері місцевого соціально-економічного розвитку та ЖКГ</w:t>
      </w:r>
      <w:r w:rsidRPr="006E03D6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 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t>на 2021 рік планується:</w:t>
      </w:r>
    </w:p>
    <w:p w:rsidR="006E03D6" w:rsidRPr="006E03D6" w:rsidRDefault="006E03D6" w:rsidP="006E0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9,4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Державного фонду регіонального розвитку, що на 4,46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більше, ніж у 2020 році;</w:t>
      </w:r>
    </w:p>
    <w:p w:rsidR="006E03D6" w:rsidRPr="006E03D6" w:rsidRDefault="006E03D6" w:rsidP="006E0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137,5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заходи соціально-економічної компенсації ризику населення, яке проживає на території зони спостереження, що становить не більше 30 % відповідного збору.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Cambria Math" w:eastAsia="Times New Roman" w:hAnsi="Cambria Math" w:cs="Cambria Math"/>
          <w:i/>
          <w:iCs/>
          <w:sz w:val="26"/>
          <w:szCs w:val="26"/>
          <w:lang w:eastAsia="uk-UA"/>
        </w:rPr>
        <w:t>⇒</w:t>
      </w:r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Асоціація міст України переконана, що у Держбюджеті на 2021 рік доцільно передбачати не менше 473,4 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 xml:space="preserve"> субвенції на заходи соціально-економічної компенсації, щоб дорівнювала 100- відсотковому обсягу відповідного компенсаційного збору. </w:t>
      </w:r>
    </w:p>
    <w:p w:rsidR="006E03D6" w:rsidRPr="006E03D6" w:rsidRDefault="006E03D6" w:rsidP="006E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500,0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нової субвенція на розвиток спортивної інфраструктури;</w:t>
      </w:r>
    </w:p>
    <w:p w:rsidR="006E03D6" w:rsidRPr="006E03D6" w:rsidRDefault="006E03D6" w:rsidP="006E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62,6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нової субвенції на розроблення комплексних планів просторового розвитку територій територіальних громад;</w:t>
      </w:r>
    </w:p>
    <w:p w:rsidR="006E03D6" w:rsidRPr="006E03D6" w:rsidRDefault="006E03D6" w:rsidP="006E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1,7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субвенції на Надзвичайну кредитну програму для відновлення України.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У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проєкті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Держбюджету-2021 не передбачається субвенція на підтримку розвитку об'єднаних територіальних громад та субвенції на здійснення заходів щодо соціально-економічного розвитку окремих територій.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Варто зазначити, що у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проєкті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держбюджету заплановано 489,8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млн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sz w:val="26"/>
          <w:szCs w:val="26"/>
          <w:lang w:eastAsia="uk-UA"/>
        </w:rPr>
        <w:t xml:space="preserve"> нової субвенції на розвиток мережі центрів надання адміністративних послуг.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Cambria Math" w:eastAsia="Times New Roman" w:hAnsi="Cambria Math" w:cs="Cambria Math"/>
          <w:i/>
          <w:iCs/>
          <w:sz w:val="26"/>
          <w:szCs w:val="26"/>
          <w:lang w:eastAsia="uk-UA"/>
        </w:rPr>
        <w:t>⇒</w:t>
      </w:r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 Асоціація міст України звертає увагу на необхідність передбачення у держбюджеті не менше </w:t>
      </w:r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 xml:space="preserve">2,9 </w:t>
      </w:r>
      <w:proofErr w:type="spellStart"/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млрд</w:t>
      </w:r>
      <w:proofErr w:type="spellEnd"/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 xml:space="preserve"> </w:t>
      </w:r>
      <w:proofErr w:type="spellStart"/>
      <w:r w:rsidRPr="006E03D6">
        <w:rPr>
          <w:rFonts w:ascii="Arial" w:eastAsia="Times New Roman" w:hAnsi="Arial" w:cs="Arial"/>
          <w:b/>
          <w:bCs/>
          <w:i/>
          <w:iCs/>
          <w:sz w:val="26"/>
          <w:szCs w:val="26"/>
          <w:lang w:eastAsia="uk-UA"/>
        </w:rPr>
        <w:t>грн</w:t>
      </w:r>
      <w:proofErr w:type="spellEnd"/>
      <w:r w:rsidRPr="006E03D6">
        <w:rPr>
          <w:rFonts w:ascii="Arial" w:eastAsia="Times New Roman" w:hAnsi="Arial" w:cs="Arial"/>
          <w:i/>
          <w:iCs/>
          <w:sz w:val="26"/>
          <w:szCs w:val="26"/>
          <w:lang w:eastAsia="uk-UA"/>
        </w:rPr>
        <w:t> субвенції на проведення робіт, пов’язаних зі створенням і забезпеченням функціонування центрів надання адміністративних послуг.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:rsidR="006E03D6" w:rsidRPr="006E03D6" w:rsidRDefault="006E03D6" w:rsidP="006E0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6E03D6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Детальніше про бюджетну забезпеченість територіальних громад  у Держбюджеті-2021 у</w:t>
      </w:r>
      <w:hyperlink r:id="rId8" w:tgtFrame="_blank" w:history="1">
        <w:r w:rsidRPr="006E03D6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uk-UA"/>
          </w:rPr>
          <w:t> Аналітичній довідці АМУ</w:t>
        </w:r>
      </w:hyperlink>
      <w:r w:rsidRPr="006E03D6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.</w:t>
      </w:r>
      <w:r w:rsidRPr="006E03D6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:rsidR="006D4E0C" w:rsidRPr="006E03D6" w:rsidRDefault="006D4E0C">
      <w:pPr>
        <w:rPr>
          <w:sz w:val="26"/>
          <w:szCs w:val="26"/>
        </w:rPr>
      </w:pPr>
    </w:p>
    <w:sectPr w:rsidR="006D4E0C" w:rsidRPr="006E03D6" w:rsidSect="006D4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116C"/>
    <w:multiLevelType w:val="multilevel"/>
    <w:tmpl w:val="004C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344A9"/>
    <w:multiLevelType w:val="multilevel"/>
    <w:tmpl w:val="8572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D6"/>
    <w:rsid w:val="006D4E0C"/>
    <w:rsid w:val="006E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0C"/>
  </w:style>
  <w:style w:type="paragraph" w:styleId="3">
    <w:name w:val="heading 3"/>
    <w:basedOn w:val="a"/>
    <w:link w:val="30"/>
    <w:uiPriority w:val="9"/>
    <w:qFormat/>
    <w:rsid w:val="006E0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3D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6E03D6"/>
    <w:rPr>
      <w:color w:val="0000FF"/>
      <w:u w:val="single"/>
    </w:rPr>
  </w:style>
  <w:style w:type="character" w:styleId="a4">
    <w:name w:val="Strong"/>
    <w:basedOn w:val="a0"/>
    <w:uiPriority w:val="22"/>
    <w:qFormat/>
    <w:rsid w:val="006E03D6"/>
    <w:rPr>
      <w:b/>
      <w:bCs/>
    </w:rPr>
  </w:style>
  <w:style w:type="character" w:styleId="a5">
    <w:name w:val="Emphasis"/>
    <w:basedOn w:val="a0"/>
    <w:uiPriority w:val="20"/>
    <w:qFormat/>
    <w:rsid w:val="006E03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E0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6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4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c.org.ua/sites/default/files/2020-09-15_analiz_derzhbyudzhetu-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1.c1.rada.gov.ua/pls/zweb2/webproc4_1?id=&amp;pf3511=69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uc.org.ua/sites/default/files/field/image/ac_amu1-01_dubl_2_2_0_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3221</Words>
  <Characters>1836</Characters>
  <Application>Microsoft Office Word</Application>
  <DocSecurity>0</DocSecurity>
  <Lines>15</Lines>
  <Paragraphs>10</Paragraphs>
  <ScaleCrop>false</ScaleCrop>
  <Company>diakov.net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2020-10-01T07:57:00Z</dcterms:created>
  <dcterms:modified xsi:type="dcterms:W3CDTF">2020-10-01T07:59:00Z</dcterms:modified>
</cp:coreProperties>
</file>