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Додаток  №</w:t>
      </w:r>
      <w:r w:rsidR="00EA3A96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469DE" w:rsidRPr="00CB3FC0" w:rsidRDefault="00F469DE" w:rsidP="00F469D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до рішення  </w:t>
      </w:r>
      <w:r w:rsidR="00B25EF4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F469DE" w:rsidRPr="00CB3FC0" w:rsidRDefault="00F469DE" w:rsidP="00F469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EF4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3A96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______сесії</w:t>
      </w:r>
      <w:r w:rsidR="00B25EF4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A96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25EF4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B25EF4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</w:t>
      </w:r>
      <w:r w:rsidRPr="00CB3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EA3A96" w:rsidRPr="00CB3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CB3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року №</w:t>
      </w:r>
      <w:r w:rsidRPr="00CB3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469DE" w:rsidRPr="00CB3FC0" w:rsidRDefault="00F469DE" w:rsidP="00F469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Міська програма з охорони життя людей на водних об’єктах</w:t>
      </w:r>
    </w:p>
    <w:p w:rsidR="00F469DE" w:rsidRPr="00CB3FC0" w:rsidRDefault="00F469DE" w:rsidP="00F469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Ніжинської міської об’єднаної  територіальної громади на 202</w:t>
      </w:r>
      <w:r w:rsidR="00EA3A96"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</w:p>
    <w:p w:rsidR="00F469DE" w:rsidRPr="00CB3FC0" w:rsidRDefault="00F469DE" w:rsidP="00F469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І. Паспорт міської програми з охорони життя людей на водних об’єктах </w:t>
      </w:r>
    </w:p>
    <w:p w:rsidR="00F469DE" w:rsidRPr="00CB3FC0" w:rsidRDefault="00F469DE" w:rsidP="00F469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Ніжинської міської об’єднаної територіальної громади на 202</w:t>
      </w:r>
      <w:r w:rsidR="00EA3A96"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14"/>
        <w:gridCol w:w="6289"/>
      </w:tblGrid>
      <w:tr w:rsidR="00F469DE" w:rsidRPr="00CB3FC0" w:rsidTr="004575BC">
        <w:tc>
          <w:tcPr>
            <w:tcW w:w="566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4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6289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 Ніжинської міської ради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4" w:type="dxa"/>
          </w:tcPr>
          <w:p w:rsidR="00F469DE" w:rsidRPr="00CB3FC0" w:rsidRDefault="004575BC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Законодавча база</w:t>
            </w:r>
          </w:p>
        </w:tc>
        <w:tc>
          <w:tcPr>
            <w:tcW w:w="6289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Закони України від 0</w:t>
            </w:r>
            <w:r w:rsidRPr="00CB3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2.10.2012року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3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5403-VI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«Кодекс цивільного захисту України», «Про місцеве самоврядування в Україні» (із змінами), розпорядження Президента України від 14 липня 2001 року №190/2001-рп «Про невідкладні заходи щодо запобігання загибелі людей на водних об’єктах», наказ Міністерства внутрішніх справ України від 10.04.2017року №301 «Про затвердження Правил охорони життя людей на водних об’єктах України» 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4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6289" w:type="dxa"/>
          </w:tcPr>
          <w:p w:rsidR="00F469DE" w:rsidRPr="00CB3FC0" w:rsidRDefault="00F469DE" w:rsidP="00EA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НС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ЦЗН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ОМР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виконкому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45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4" w:type="dxa"/>
          </w:tcPr>
          <w:p w:rsidR="00F469DE" w:rsidRPr="00CB3FC0" w:rsidRDefault="004575BC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6289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житлово – комунального господарства та будівництва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45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4" w:type="dxa"/>
          </w:tcPr>
          <w:p w:rsidR="00F469DE" w:rsidRPr="00CB3FC0" w:rsidRDefault="004575BC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6289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45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4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6289" w:type="dxa"/>
            <w:vAlign w:val="center"/>
          </w:tcPr>
          <w:p w:rsidR="00F469DE" w:rsidRPr="00CB3FC0" w:rsidRDefault="00F469DE" w:rsidP="00EA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45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4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ресурсів,</w:t>
            </w:r>
            <w:r w:rsidR="00457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457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457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кредитна заборгованість минулих років,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необхідних для реалізації програми, всього,</w:t>
            </w:r>
          </w:p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  <w:tc>
          <w:tcPr>
            <w:tcW w:w="6289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DE" w:rsidRPr="00CB3FC0" w:rsidRDefault="006B2DC0" w:rsidP="00D2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457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2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469DE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ис. грн.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69DE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314" w:type="dxa"/>
          </w:tcPr>
          <w:p w:rsidR="00F469DE" w:rsidRPr="00CB3FC0" w:rsidRDefault="00F469DE" w:rsidP="00EA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коштів бюджету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Ніжинської міської об’єднаної територіальної громади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proofErr w:type="spellStart"/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погашення боргів минулих років</w:t>
            </w:r>
          </w:p>
        </w:tc>
        <w:tc>
          <w:tcPr>
            <w:tcW w:w="6289" w:type="dxa"/>
            <w:vAlign w:val="center"/>
          </w:tcPr>
          <w:p w:rsidR="00F469DE" w:rsidRPr="00CB3FC0" w:rsidRDefault="006B2DC0" w:rsidP="00D2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</w:t>
            </w:r>
            <w:r w:rsidR="00D2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bookmarkStart w:id="0" w:name="_GoBack"/>
            <w:bookmarkEnd w:id="0"/>
            <w:r w:rsidR="0024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2425BA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ис. грн.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69DE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14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коштів інших джерел</w:t>
            </w:r>
          </w:p>
        </w:tc>
        <w:tc>
          <w:tcPr>
            <w:tcW w:w="6289" w:type="dxa"/>
          </w:tcPr>
          <w:p w:rsidR="00F469DE" w:rsidRPr="00CB3FC0" w:rsidRDefault="00F469DE" w:rsidP="00F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DE" w:rsidRPr="00CB3FC0" w:rsidRDefault="00F469DE" w:rsidP="006B2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Проблема, на розв’язання якої спрямована програма</w:t>
      </w:r>
      <w:r w:rsidR="006B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межах  м.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Ніжина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находиться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12 водоймищ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Поблизу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три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водоймища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кар’єр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об’єктів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селах </w:t>
      </w:r>
      <w:proofErr w:type="spellStart"/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Кунашівка</w:t>
      </w:r>
      <w:proofErr w:type="spellEnd"/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Паливодин</w:t>
      </w:r>
      <w:proofErr w:type="spellEnd"/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Наумівське</w:t>
      </w:r>
      <w:proofErr w:type="spellEnd"/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Переяслівка</w:t>
      </w:r>
      <w:proofErr w:type="spellEnd"/>
      <w:r w:rsidR="00B47F98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47F98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розташовані</w:t>
      </w:r>
      <w:proofErr w:type="spellEnd"/>
      <w:r w:rsidR="00B47F98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 ставки.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щорічно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гинуть люди, у тому </w:t>
      </w:r>
      <w:proofErr w:type="spellStart"/>
      <w:proofErr w:type="gram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proofErr w:type="gram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головного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статистики у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Чернігівській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загиблих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становить: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 2008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 4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чол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 2009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 2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чол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 2010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чол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-   2011 рік -   2 чол.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2012 рік -   3 чол.                                          -   2013рік  -   2 чол.  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2014 рік  -   3 чол.                                         -   2015 рік -   3 чол.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рік 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чол.                                        –  2017 рік  -  3 чол.</w:t>
      </w:r>
    </w:p>
    <w:p w:rsidR="00F469DE" w:rsidRPr="00CB3FC0" w:rsidRDefault="00F469DE" w:rsidP="0007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рік –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1чол.                                         –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рік   - 1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</w:p>
    <w:p w:rsidR="00F469DE" w:rsidRPr="00CB3FC0" w:rsidRDefault="00077CED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Основною причиною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трагічних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випадків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людський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фактор: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невиконання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нехтування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встановленими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правилами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воді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Разом з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належне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облаштування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яке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відповідним рішенням виконавчого комітету та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силами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«Виробниче управління комунального господарства» запобігає нещасним випадкам на відведеній ділянці р. Остер.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жливе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в попередженні надзвичайних ситуацій, небезпечних подій на водних об’єктах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 організації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роз’яснювально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пропагандистської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закладах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розповсюджувати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наочні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пропагандою правил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льоду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методики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потерпілим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профілактичні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об’єктах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особовий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пройти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рятівника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повинна </w:t>
      </w:r>
      <w:proofErr w:type="gram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бути 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обладнана</w:t>
      </w:r>
      <w:proofErr w:type="spellEnd"/>
      <w:proofErr w:type="gram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равил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затверджених наказом Міністерства внутрішніх справ України від 10.04.2017року № 301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юстиції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04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№566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30434.</w:t>
      </w:r>
    </w:p>
    <w:p w:rsidR="00F469DE" w:rsidRPr="00CB3FC0" w:rsidRDefault="00F469DE" w:rsidP="00F4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Мета Програми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Основною метою прийняття даної Програми є виконання заходів, які передбачені в «Правилах охорони життя людей на водних об’єктах України» щодо попередження трагічних випадків на воді в межах міста та своєчасного надання допомоги потерпілим на визначеному та обладнаному належним чином місці масового відпочинку.</w:t>
      </w:r>
    </w:p>
    <w:p w:rsidR="00F469DE" w:rsidRPr="00CB3FC0" w:rsidRDefault="00F469DE" w:rsidP="00F4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Обґрунтування шляхів і засобів розв’язання проблеми, обсягів та джерел фінансування, строки</w:t>
      </w:r>
      <w:r w:rsidR="00442D36"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етапи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виконання Програми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Пріоритетними завданнями міської програми з охорони життя людей на водних об’єктах Ніжинської міської об’єднаної територіальної громади  на 202</w:t>
      </w:r>
      <w:r w:rsidR="00442D36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являються: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облаштування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встановленими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обстеження</w:t>
      </w:r>
      <w:proofErr w:type="spellEnd"/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іочищення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акваторі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навод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об’єкті;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облаштування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місць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заборонених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купання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попереджувальними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знаками;</w:t>
      </w:r>
    </w:p>
    <w:p w:rsidR="00924A89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</w:p>
    <w:p w:rsidR="00F469DE" w:rsidRPr="00CB3FC0" w:rsidRDefault="00924A89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ому </w:t>
      </w:r>
      <w:proofErr w:type="spellStart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доведення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штатної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чисельності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поліпшення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постів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роз’яснення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пропаганда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методики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розповсюдження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наочних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посібників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потерпілим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інформування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призвели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загибелі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причини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D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погашення кредиторської заборгованості, яка склалася на початок року.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Термін виконання заходів даної програми – 202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рік.</w:t>
      </w:r>
    </w:p>
    <w:p w:rsidR="00077CED" w:rsidRPr="00CB3FC0" w:rsidRDefault="00077CED" w:rsidP="0007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Напрями діяльності, перелік завдань і заходів програми та результативні показники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дасть змогу: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Ніжина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надзвичайних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та</w:t>
      </w:r>
      <w:proofErr w:type="gram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загибелі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розширити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діапазон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сил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пошуково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роз’яснювально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пропагандистської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воді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потерпілим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скоротити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нещасних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випадків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пов’язаних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загибеллю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об’єктах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Результативні  показники організації охорони життя людей  на водних об’єктах Ніжинської міської об’єднаної територіальної громади  в 202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році: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 затрат:</w:t>
      </w:r>
    </w:p>
    <w:p w:rsidR="00077CED" w:rsidRPr="00CB3FC0" w:rsidRDefault="00077CED" w:rsidP="00077C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-кількість пляжів та зон відпочинку - 1 од.</w:t>
      </w:r>
    </w:p>
    <w:p w:rsidR="00077CED" w:rsidRPr="00CB3FC0" w:rsidRDefault="00077CED" w:rsidP="00077C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-кількість рятувальних підрозділів на воді – 1 од.</w:t>
      </w:r>
    </w:p>
    <w:p w:rsidR="00077CED" w:rsidRPr="00CB3FC0" w:rsidRDefault="00077CED" w:rsidP="00077C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-кількість рятувальників – 3 особи.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 якості:</w:t>
      </w:r>
    </w:p>
    <w:p w:rsidR="00077CED" w:rsidRPr="00CB3FC0" w:rsidRDefault="00077CED" w:rsidP="00077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-забезпеченість пляж</w:t>
      </w:r>
      <w:r w:rsidR="006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зон</w:t>
      </w:r>
      <w:r w:rsidR="006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відпочинку рятувальним підрозділ</w:t>
      </w:r>
      <w:r w:rsidR="006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м -100%.</w:t>
      </w:r>
    </w:p>
    <w:p w:rsidR="00F469DE" w:rsidRPr="00CB3FC0" w:rsidRDefault="00F469DE" w:rsidP="00F46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="006B2DC0" w:rsidRPr="00CB3F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077CED"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Координація та</w:t>
      </w: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контроль за</w:t>
      </w:r>
      <w:r w:rsidR="00077CED"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ходом</w:t>
      </w: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виконання Програми:</w:t>
      </w:r>
    </w:p>
    <w:p w:rsidR="00F469DE" w:rsidRPr="00CB3FC0" w:rsidRDefault="00924A89" w:rsidP="00F46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Координація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та  контроль  за  виконанням Програми покладено  на відділ з питань надзвичайних ситуацій</w:t>
      </w: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цивільного захисту населення,</w:t>
      </w: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оборонної та мобілізаційної роботи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який здійснює методичну координацію та підготовку пропозицій </w:t>
      </w: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щодо виконання заходів Програми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469DE" w:rsidRPr="00CB3FC0" w:rsidRDefault="00F469DE" w:rsidP="00F4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щоквартально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 6-го числа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звітним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кварталом,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стан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фінансовому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управлінню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звітує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за </w:t>
      </w:r>
      <w:proofErr w:type="spellStart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підсумками</w:t>
      </w:r>
      <w:proofErr w:type="spellEnd"/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року.</w:t>
      </w:r>
    </w:p>
    <w:p w:rsidR="006B2DC0" w:rsidRDefault="006B2DC0" w:rsidP="00B25EF4">
      <w:pPr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95C" w:rsidRPr="00CB3FC0" w:rsidRDefault="00F469DE" w:rsidP="00B25EF4">
      <w:pPr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А.В. </w:t>
      </w:r>
      <w:proofErr w:type="spellStart"/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Лінник</w:t>
      </w:r>
      <w:proofErr w:type="spellEnd"/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  <w:r w:rsidRPr="00CB3FC0">
        <w:rPr>
          <w:rFonts w:ascii="Times New Roman" w:hAnsi="Times New Roman" w:cs="Times New Roman"/>
          <w:sz w:val="28"/>
          <w:szCs w:val="28"/>
          <w:lang w:eastAsia="uk-UA"/>
        </w:rPr>
        <w:t>Експертиза проведена</w:t>
      </w: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  <w:r w:rsidRPr="00CB3FC0">
        <w:rPr>
          <w:rFonts w:ascii="Times New Roman" w:hAnsi="Times New Roman" w:cs="Times New Roman"/>
          <w:sz w:val="28"/>
          <w:szCs w:val="28"/>
          <w:lang w:eastAsia="uk-UA"/>
        </w:rPr>
        <w:t>Погоджено:</w:t>
      </w: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  <w:r w:rsidRPr="00CB3FC0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фінансового управління                                    </w:t>
      </w:r>
      <w:proofErr w:type="spellStart"/>
      <w:r w:rsidRPr="00CB3FC0">
        <w:rPr>
          <w:rFonts w:ascii="Times New Roman" w:hAnsi="Times New Roman" w:cs="Times New Roman"/>
          <w:sz w:val="28"/>
          <w:szCs w:val="28"/>
          <w:lang w:eastAsia="uk-UA"/>
        </w:rPr>
        <w:t>Л.В.Писаренко</w:t>
      </w:r>
      <w:proofErr w:type="spellEnd"/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  <w:r w:rsidRPr="00CB3FC0">
        <w:rPr>
          <w:rFonts w:ascii="Times New Roman" w:hAnsi="Times New Roman" w:cs="Times New Roman"/>
          <w:sz w:val="28"/>
          <w:szCs w:val="28"/>
          <w:lang w:eastAsia="uk-UA"/>
        </w:rPr>
        <w:t>Начальник відділу економіки та інвестиційної</w:t>
      </w: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  <w:r w:rsidRPr="00CB3FC0">
        <w:rPr>
          <w:rFonts w:ascii="Times New Roman" w:hAnsi="Times New Roman" w:cs="Times New Roman"/>
          <w:sz w:val="28"/>
          <w:szCs w:val="28"/>
          <w:lang w:eastAsia="uk-UA"/>
        </w:rPr>
        <w:t xml:space="preserve">діяльності виконавчого комітету </w:t>
      </w: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uk-UA"/>
        </w:rPr>
      </w:pPr>
      <w:r w:rsidRPr="00CB3FC0">
        <w:rPr>
          <w:rFonts w:ascii="Times New Roman" w:hAnsi="Times New Roman" w:cs="Times New Roman"/>
          <w:sz w:val="28"/>
          <w:szCs w:val="28"/>
          <w:lang w:eastAsia="uk-UA"/>
        </w:rPr>
        <w:t xml:space="preserve">Ніжинської міської ради                                                       </w:t>
      </w:r>
      <w:proofErr w:type="spellStart"/>
      <w:r w:rsidRPr="00CB3FC0">
        <w:rPr>
          <w:rFonts w:ascii="Times New Roman" w:hAnsi="Times New Roman" w:cs="Times New Roman"/>
          <w:sz w:val="28"/>
          <w:szCs w:val="28"/>
          <w:lang w:eastAsia="uk-UA"/>
        </w:rPr>
        <w:t>Т.М.Гавриш</w:t>
      </w:r>
      <w:proofErr w:type="spellEnd"/>
      <w:r w:rsidRPr="00CB3FC0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</w:t>
      </w:r>
    </w:p>
    <w:p w:rsidR="00CB3FC0" w:rsidRPr="00CB3FC0" w:rsidRDefault="00CB3FC0" w:rsidP="00CB3FC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B3FC0" w:rsidRPr="00CB3FC0" w:rsidRDefault="00CB3FC0" w:rsidP="00B25EF4">
      <w:pPr>
        <w:spacing w:after="120" w:line="48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B3FC0" w:rsidRPr="00CB3FC0" w:rsidSect="006B2DC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0260"/>
    <w:multiLevelType w:val="hybridMultilevel"/>
    <w:tmpl w:val="9AF8BB96"/>
    <w:lvl w:ilvl="0" w:tplc="53A40B94">
      <w:start w:val="202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7F1D"/>
    <w:rsid w:val="000169B4"/>
    <w:rsid w:val="00077CED"/>
    <w:rsid w:val="002425BA"/>
    <w:rsid w:val="0040095C"/>
    <w:rsid w:val="00442D36"/>
    <w:rsid w:val="004575BC"/>
    <w:rsid w:val="00535590"/>
    <w:rsid w:val="00667DF9"/>
    <w:rsid w:val="006B2DC0"/>
    <w:rsid w:val="00711B7C"/>
    <w:rsid w:val="00924A89"/>
    <w:rsid w:val="00B25EF4"/>
    <w:rsid w:val="00B47F98"/>
    <w:rsid w:val="00C64A62"/>
    <w:rsid w:val="00CB3FC0"/>
    <w:rsid w:val="00D260BD"/>
    <w:rsid w:val="00E77F1D"/>
    <w:rsid w:val="00EA3A96"/>
    <w:rsid w:val="00F469DE"/>
    <w:rsid w:val="00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145"/>
  <w15:docId w15:val="{ACC25F0A-13FC-4418-AB54-A56FABA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5027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Користувач Windows</cp:lastModifiedBy>
  <cp:revision>18</cp:revision>
  <cp:lastPrinted>2020-09-25T13:00:00Z</cp:lastPrinted>
  <dcterms:created xsi:type="dcterms:W3CDTF">2019-10-11T06:43:00Z</dcterms:created>
  <dcterms:modified xsi:type="dcterms:W3CDTF">2020-09-25T13:03:00Z</dcterms:modified>
</cp:coreProperties>
</file>